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40"/>
      </w:pPr>
    </w:p>
    <w:p>
      <w:pPr>
        <w:keepNext/>
        <w:spacing w:before="0" w:after="240"/>
        <w:jc w:val="left"/>
      </w:pPr>
      <w:r>
        <w:rPr>
          <w:rFonts w:ascii="Calibri" w:hAnsi="Calibri"/>
          <w:b/>
          <w:color w:val="355070"/>
          <w:sz w:val="18"/>
        </w:rPr>
        <w:t>WORK INSTRUCTION</w:t>
      </w:r>
    </w:p>
    <w:p>
      <w:pPr>
        <w:pStyle w:val="Title"/>
        <w:jc w:val="left"/>
      </w:pPr>
      <w:r>
        <w:rPr>
          <w:rFonts w:ascii="Calibri" w:hAnsi="Calibri"/>
          <w:b/>
          <w:color w:val="1E2B42"/>
          <w:sz w:val="62"/>
        </w:rPr>
        <w:t>Approve a customer refund</w:t>
      </w:r>
    </w:p>
    <w:p>
      <w:pPr>
        <w:pStyle w:val="Subtitle"/>
        <w:jc w:val="left"/>
      </w:pPr>
      <w:r>
        <w:rPr>
          <w:rFonts w:ascii="Calibri" w:hAnsi="Calibri"/>
          <w:color w:val="59645D"/>
          <w:sz w:val="28"/>
        </w:rPr>
        <w:t>A concise task-level instruction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Controlled field</w:t>
            </w:r>
          </w:p>
        </w:tc>
        <w:tc>
          <w:tcPr>
            <w:tcW w:type="dxa" w:w="666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Approved value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Document owner</w:t>
            </w:r>
          </w:p>
        </w:tc>
        <w:tc>
          <w:tcPr>
            <w:tcW w:type="dxa" w:w="66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Operations</w:t>
            </w:r>
          </w:p>
        </w:tc>
      </w:tr>
      <w:tr>
        <w:trPr>
          <w:cantSplit/>
        </w:trPr>
        <w:tc>
          <w:tcPr>
            <w:tcW w:type="dxa" w:w="27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Version and status</w:t>
            </w:r>
          </w:p>
        </w:tc>
        <w:tc>
          <w:tcPr>
            <w:tcW w:type="dxa" w:w="66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1.0 | Approved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Effective date</w:t>
            </w:r>
          </w:p>
        </w:tc>
        <w:tc>
          <w:tcPr>
            <w:tcW w:type="dxa" w:w="66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September 1, 2026</w:t>
            </w:r>
          </w:p>
        </w:tc>
      </w:tr>
      <w:tr>
        <w:trPr>
          <w:cantSplit/>
        </w:trPr>
        <w:tc>
          <w:tcPr>
            <w:tcW w:type="dxa" w:w="27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Review date</w:t>
            </w:r>
          </w:p>
        </w:tc>
        <w:tc>
          <w:tcPr>
            <w:tcW w:type="dxa" w:w="66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September 1, 2027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Approved by</w:t>
            </w:r>
          </w:p>
        </w:tc>
        <w:tc>
          <w:tcPr>
            <w:tcW w:type="dxa" w:w="66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Operations Director</w:t>
            </w:r>
          </w:p>
        </w:tc>
      </w:tr>
    </w:tbl>
    <w:p>
      <w:pPr>
        <w:spacing w:after="60"/>
      </w:pPr>
    </w:p>
    <w:p>
      <w:pPr>
        <w:pStyle w:val="Quote"/>
        <w:spacing w:before="120" w:after="180"/>
        <w:shd w:fill="ECF0F6"/>
        <w:pBdr>
          <w:left w:val="single" w:sz="18" w:space="8" w:color="355070"/>
        </w:pBdr>
      </w:pPr>
      <w:r>
        <w:rPr>
          <w:rFonts w:ascii="Calibri" w:hAnsi="Calibri"/>
          <w:b/>
          <w:color w:val="1E2B42"/>
          <w:sz w:val="22"/>
        </w:rPr>
        <w:t xml:space="preserve">Expected result: </w:t>
      </w:r>
      <w:r>
        <w:rPr>
          <w:rFonts w:ascii="Calibri" w:hAnsi="Calibri"/>
          <w:color w:val="1E2B42"/>
          <w:sz w:val="22"/>
        </w:rPr>
        <w:t>An eligible refund is approved once, recorded accurately, returned through the original payment method, and communicated to the customer with a traceable case reference.</w:t>
      </w:r>
    </w:p>
    <w:p>
      <w:pPr>
        <w:pStyle w:val="Heading1"/>
      </w:pPr>
      <w:r>
        <w:t>Use this instruction when</w:t>
      </w:r>
    </w:p>
    <w:p>
      <w:pPr/>
      <w:r>
        <w:t>Use this instruction after a customer requests a refund and the request is assigned to an authorized reviewer. Fraud investigations, chargebacks, cash refunds, disputed contract terms, and exceptions above the approved threshold follow separate procedures.</w:t>
      </w:r>
    </w:p>
    <w:p>
      <w:pPr>
        <w:pStyle w:val="Heading1"/>
      </w:pPr>
      <w:r>
        <w:t>Prerequisites</w:t>
      </w:r>
    </w:p>
    <w:p>
      <w:pPr>
        <w:pStyle w:val="ListParagraph"/>
        <w:numPr>
          <w:ilvl w:val="0"/>
          <w:numId w:val="12"/>
        </w:numPr>
      </w:pPr>
      <w:r>
        <w:t>The reviewer is signed in through an approved account with refund permission.</w:t>
      </w:r>
    </w:p>
    <w:p>
      <w:pPr>
        <w:pStyle w:val="ListParagraph"/>
        <w:numPr>
          <w:ilvl w:val="0"/>
          <w:numId w:val="12"/>
        </w:numPr>
      </w:pPr>
      <w:r>
        <w:t>The customer, order, payment, requested amount, currency, reason, and request date are confirmed.</w:t>
      </w:r>
    </w:p>
    <w:p>
      <w:pPr>
        <w:pStyle w:val="ListParagraph"/>
        <w:numPr>
          <w:ilvl w:val="0"/>
          <w:numId w:val="12"/>
        </w:numPr>
      </w:pPr>
      <w:r>
        <w:t>The current refund policy, approval threshold, and any contractual exception are available.</w:t>
      </w:r>
    </w:p>
    <w:p>
      <w:pPr>
        <w:pStyle w:val="ListParagraph"/>
        <w:numPr>
          <w:ilvl w:val="0"/>
          <w:numId w:val="12"/>
        </w:numPr>
      </w:pPr>
      <w:r>
        <w:t>The case record is open and has a unique reference number.</w:t>
      </w:r>
    </w:p>
    <w:p>
      <w:pPr>
        <w:pStyle w:val="Quote"/>
        <w:spacing w:before="120" w:after="180"/>
        <w:shd w:fill="ECF0F6"/>
        <w:pBdr>
          <w:left w:val="single" w:sz="18" w:space="8" w:color="355070"/>
        </w:pBdr>
      </w:pPr>
      <w:r>
        <w:rPr>
          <w:rFonts w:ascii="Calibri" w:hAnsi="Calibri"/>
          <w:b/>
          <w:color w:val="1E2B42"/>
          <w:sz w:val="22"/>
        </w:rPr>
        <w:t xml:space="preserve">Boundary: </w:t>
      </w:r>
      <w:r>
        <w:rPr>
          <w:rFonts w:ascii="Calibri" w:hAnsi="Calibri"/>
          <w:color w:val="1E2B42"/>
          <w:sz w:val="22"/>
        </w:rPr>
        <w:t>Never request or record a full card number, password, one-time code, or other authentication secret. Do not split a refund to avoid an approval threshold.</w:t>
      </w:r>
    </w:p>
    <w:p>
      <w:r>
        <w:br w:type="page"/>
      </w:r>
    </w:p>
    <w:p>
      <w:pPr>
        <w:pStyle w:val="Heading1"/>
      </w:pPr>
      <w:r>
        <w:t>Work steps</w:t>
      </w:r>
    </w:p>
    <w:p>
      <w:pPr>
        <w:pStyle w:val="ListParagraph"/>
        <w:numPr>
          <w:ilvl w:val="0"/>
          <w:numId w:val="13"/>
        </w:numPr>
      </w:pPr>
      <w:r>
        <w:t>Open the assigned case and compare the customer identity, order, payment, amount, currency, reason, and request date with the system of record.</w:t>
      </w:r>
    </w:p>
    <w:p>
      <w:pPr>
        <w:pStyle w:val="ListParagraph"/>
        <w:numPr>
          <w:ilvl w:val="0"/>
          <w:numId w:val="13"/>
        </w:numPr>
      </w:pPr>
      <w:r>
        <w:t>Check the current refund policy and contract. Confirm the request is eligible, within the permitted window, and within your approval limit.</w:t>
      </w:r>
    </w:p>
    <w:p>
      <w:pPr>
        <w:pStyle w:val="ListParagraph"/>
        <w:numPr>
          <w:ilvl w:val="0"/>
          <w:numId w:val="13"/>
        </w:numPr>
      </w:pPr>
      <w:r>
        <w:t>Review prior refunds, open disputes, delivery evidence, fraud indicators, and duplicate requests. Stop if the facts conflict or require investigation.</w:t>
      </w:r>
    </w:p>
    <w:p>
      <w:pPr>
        <w:pStyle w:val="ListParagraph"/>
        <w:numPr>
          <w:ilvl w:val="0"/>
          <w:numId w:val="13"/>
        </w:numPr>
      </w:pPr>
      <w:r>
        <w:t>Record the decision rationale, approved amount, policy reference, payment reference, and any required evidence in the case record.</w:t>
      </w:r>
    </w:p>
    <w:p>
      <w:pPr>
        <w:pStyle w:val="ListParagraph"/>
        <w:numPr>
          <w:ilvl w:val="0"/>
          <w:numId w:val="13"/>
        </w:numPr>
      </w:pPr>
      <w:r>
        <w:t>Submit the refund once through the original payment method. Record the processor confirmation and expected settlement window.</w:t>
      </w:r>
    </w:p>
    <w:p>
      <w:pPr>
        <w:pStyle w:val="ListParagraph"/>
        <w:numPr>
          <w:ilvl w:val="0"/>
          <w:numId w:val="13"/>
        </w:numPr>
      </w:pPr>
      <w:r>
        <w:t>Send the approved customer notice with the amount, payment method, expected timing, and case reference. Do not promise a bank posting date.</w:t>
      </w:r>
    </w:p>
    <w:p>
      <w:pPr>
        <w:pStyle w:val="ListParagraph"/>
        <w:numPr>
          <w:ilvl w:val="0"/>
          <w:numId w:val="13"/>
        </w:numPr>
      </w:pPr>
      <w:r>
        <w:t>Mark the case complete only after the processor confirms submission and the required record fields are present.</w:t>
      </w:r>
    </w:p>
    <w:p>
      <w:pPr>
        <w:pStyle w:val="Heading1"/>
      </w:pPr>
      <w:r>
        <w:t>Completion criteria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100"/>
        <w:gridCol w:w="3360"/>
        <w:gridCol w:w="1900"/>
      </w:tblGrid>
      <w:tr>
        <w:trPr>
          <w:tblHeader w:val="true"/>
        </w:trPr>
        <w:tc>
          <w:tcPr>
            <w:tcW w:type="dxa" w:w="41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Required check</w:t>
            </w:r>
          </w:p>
        </w:tc>
        <w:tc>
          <w:tcPr>
            <w:tcW w:type="dxa" w:w="336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19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Result</w:t>
            </w:r>
          </w:p>
        </w:tc>
      </w:tr>
      <w:tr>
        <w:trPr>
          <w:cantSplit/>
        </w:trPr>
        <w:tc>
          <w:tcPr>
            <w:tcW w:type="dxa" w:w="41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Eligibility and authority confirmed</w:t>
            </w:r>
          </w:p>
        </w:tc>
        <w:tc>
          <w:tcPr>
            <w:tcW w:type="dxa" w:w="33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Policy reference and reviewer limit</w:t>
            </w:r>
          </w:p>
        </w:tc>
        <w:tc>
          <w:tcPr>
            <w:tcW w:type="dxa" w:w="19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Pass / Fail</w:t>
            </w:r>
          </w:p>
        </w:tc>
      </w:tr>
      <w:tr>
        <w:trPr>
          <w:cantSplit/>
        </w:trPr>
        <w:tc>
          <w:tcPr>
            <w:tcW w:type="dxa" w:w="41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Amount and currency match the approved decision</w:t>
            </w:r>
          </w:p>
        </w:tc>
        <w:tc>
          <w:tcPr>
            <w:tcW w:type="dxa" w:w="33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Case and payment records</w:t>
            </w:r>
          </w:p>
        </w:tc>
        <w:tc>
          <w:tcPr>
            <w:tcW w:type="dxa" w:w="19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Pass / Fail</w:t>
            </w:r>
          </w:p>
        </w:tc>
      </w:tr>
      <w:tr>
        <w:trPr>
          <w:cantSplit/>
        </w:trPr>
        <w:tc>
          <w:tcPr>
            <w:tcW w:type="dxa" w:w="41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Refund submitted once</w:t>
            </w:r>
          </w:p>
        </w:tc>
        <w:tc>
          <w:tcPr>
            <w:tcW w:type="dxa" w:w="33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Processor confirmation</w:t>
            </w:r>
          </w:p>
        </w:tc>
        <w:tc>
          <w:tcPr>
            <w:tcW w:type="dxa" w:w="19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Pass / Fail</w:t>
            </w:r>
          </w:p>
        </w:tc>
      </w:tr>
      <w:tr>
        <w:trPr>
          <w:cantSplit/>
        </w:trPr>
        <w:tc>
          <w:tcPr>
            <w:tcW w:type="dxa" w:w="41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notification sent</w:t>
            </w:r>
          </w:p>
        </w:tc>
        <w:tc>
          <w:tcPr>
            <w:tcW w:type="dxa" w:w="33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Message record</w:t>
            </w:r>
          </w:p>
        </w:tc>
        <w:tc>
          <w:tcPr>
            <w:tcW w:type="dxa" w:w="19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Pass / Fail</w:t>
            </w:r>
          </w:p>
        </w:tc>
      </w:tr>
      <w:tr>
        <w:trPr>
          <w:cantSplit/>
        </w:trPr>
        <w:tc>
          <w:tcPr>
            <w:tcW w:type="dxa" w:w="41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Case fields and rationale complete</w:t>
            </w:r>
          </w:p>
        </w:tc>
        <w:tc>
          <w:tcPr>
            <w:tcW w:type="dxa" w:w="33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Closed case record</w:t>
            </w:r>
          </w:p>
        </w:tc>
        <w:tc>
          <w:tcPr>
            <w:tcW w:type="dxa" w:w="19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Pass / Fail</w:t>
            </w:r>
          </w:p>
        </w:tc>
      </w:tr>
    </w:tbl>
    <w:p>
      <w:pPr>
        <w:spacing w:after="60"/>
      </w:pPr>
    </w:p>
    <w:p>
      <w:pPr>
        <w:pStyle w:val="Heading1"/>
      </w:pPr>
      <w:r>
        <w:t>Exceptions and escalation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4560"/>
        <w:gridCol w:w="1800"/>
      </w:tblGrid>
      <w:tr>
        <w:trPr>
          <w:tblHeader w:val="true"/>
        </w:trPr>
        <w:tc>
          <w:tcPr>
            <w:tcW w:type="dxa" w:w="30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Condition</w:t>
            </w:r>
          </w:p>
        </w:tc>
        <w:tc>
          <w:tcPr>
            <w:tcW w:type="dxa" w:w="456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Required action</w:t>
            </w:r>
          </w:p>
        </w:tc>
        <w:tc>
          <w:tcPr>
            <w:tcW w:type="dxa" w:w="18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Request exceeds authority</w:t>
            </w:r>
          </w:p>
        </w:tc>
        <w:tc>
          <w:tcPr>
            <w:tcW w:type="dxa" w:w="45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Pause and route the complete case for approval</w:t>
            </w:r>
          </w:p>
        </w:tc>
        <w:tc>
          <w:tcPr>
            <w:tcW w:type="dxa" w:w="18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 manager</w:t>
            </w:r>
          </w:p>
        </w:tc>
      </w:tr>
      <w:tr>
        <w:trPr>
          <w:cantSplit/>
        </w:trPr>
        <w:tc>
          <w:tcPr>
            <w:tcW w:type="dxa" w:w="30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Possible fraud or duplicate request</w:t>
            </w:r>
          </w:p>
        </w:tc>
        <w:tc>
          <w:tcPr>
            <w:tcW w:type="dxa" w:w="45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Do not refund until the designated reviewer clears the case</w:t>
            </w:r>
          </w:p>
        </w:tc>
        <w:tc>
          <w:tcPr>
            <w:tcW w:type="dxa" w:w="18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Risk owner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Payment method cannot accept the refund</w:t>
            </w:r>
          </w:p>
        </w:tc>
        <w:tc>
          <w:tcPr>
            <w:tcW w:type="dxa" w:w="45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Use the approved payment exception procedure</w:t>
            </w:r>
          </w:p>
        </w:tc>
        <w:tc>
          <w:tcPr>
            <w:tcW w:type="dxa" w:w="18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Finance owner</w:t>
            </w:r>
          </w:p>
        </w:tc>
      </w:tr>
      <w:tr>
        <w:trPr>
          <w:cantSplit/>
        </w:trPr>
        <w:tc>
          <w:tcPr>
            <w:tcW w:type="dxa" w:w="30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disputes the decision</w:t>
            </w:r>
          </w:p>
        </w:tc>
        <w:tc>
          <w:tcPr>
            <w:tcW w:type="dxa" w:w="45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Provide the escalation route and preserve the case record</w:t>
            </w:r>
          </w:p>
        </w:tc>
        <w:tc>
          <w:tcPr>
            <w:tcW w:type="dxa" w:w="18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lead</w:t>
            </w:r>
          </w:p>
        </w:tc>
      </w:tr>
    </w:tbl>
    <w:p>
      <w:pPr>
        <w:spacing w:after="60"/>
      </w:pPr>
    </w:p>
    <w:p>
      <w:pPr>
        <w:pStyle w:val="Heading1"/>
      </w:pPr>
      <w:r>
        <w:t>Records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900"/>
        <w:gridCol w:w="3460"/>
        <w:gridCol w:w="2000"/>
      </w:tblGrid>
      <w:tr>
        <w:trPr>
          <w:tblHeader w:val="true"/>
        </w:trPr>
        <w:tc>
          <w:tcPr>
            <w:tcW w:type="dxa" w:w="39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Record</w:t>
            </w:r>
          </w:p>
        </w:tc>
        <w:tc>
          <w:tcPr>
            <w:tcW w:type="dxa" w:w="346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Approved location</w:t>
            </w:r>
          </w:p>
        </w:tc>
        <w:tc>
          <w:tcPr>
            <w:tcW w:type="dxa" w:w="20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Request, evidence, decision, and rationale</w:t>
            </w:r>
          </w:p>
        </w:tc>
        <w:tc>
          <w:tcPr>
            <w:tcW w:type="dxa" w:w="34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case system</w:t>
            </w:r>
          </w:p>
        </w:tc>
        <w:tc>
          <w:tcPr>
            <w:tcW w:type="dxa" w:w="20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Reviewer</w:t>
            </w:r>
          </w:p>
        </w:tc>
      </w:tr>
      <w:tr>
        <w:trPr>
          <w:cantSplit/>
        </w:trPr>
        <w:tc>
          <w:tcPr>
            <w:tcW w:type="dxa" w:w="39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Processor confirmation and payment reference</w:t>
            </w:r>
          </w:p>
        </w:tc>
        <w:tc>
          <w:tcPr>
            <w:tcW w:type="dxa" w:w="34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Payment record</w:t>
            </w:r>
          </w:p>
        </w:tc>
        <w:tc>
          <w:tcPr>
            <w:tcW w:type="dxa" w:w="20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Finance Operations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notice and delivery status</w:t>
            </w:r>
          </w:p>
        </w:tc>
        <w:tc>
          <w:tcPr>
            <w:tcW w:type="dxa" w:w="34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case system</w:t>
            </w:r>
          </w:p>
        </w:tc>
        <w:tc>
          <w:tcPr>
            <w:tcW w:type="dxa" w:w="20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Reviewer</w:t>
            </w:r>
          </w:p>
        </w:tc>
      </w:tr>
    </w:tbl>
    <w:p>
      <w:pPr>
        <w:spacing w:after="60"/>
      </w:pPr>
    </w:p>
    <w:p>
      <w:pPr>
        <w:pStyle w:val="Heading1"/>
      </w:pPr>
      <w:r>
        <w:t>Approval and revision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000"/>
        <w:gridCol w:w="1500"/>
        <w:gridCol w:w="3160"/>
        <w:gridCol w:w="1900"/>
        <w:gridCol w:w="1800"/>
      </w:tblGrid>
      <w:tr>
        <w:trPr>
          <w:tblHeader w:val="true"/>
        </w:trPr>
        <w:tc>
          <w:tcPr>
            <w:tcW w:type="dxa" w:w="10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Version</w:t>
            </w:r>
          </w:p>
        </w:tc>
        <w:tc>
          <w:tcPr>
            <w:tcW w:type="dxa" w:w="15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316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Change</w:t>
            </w:r>
          </w:p>
        </w:tc>
        <w:tc>
          <w:tcPr>
            <w:tcW w:type="dxa" w:w="19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  <w:tc>
          <w:tcPr>
            <w:tcW w:type="dxa" w:w="1800"/>
            <w:shd w:fill="1E2B42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Approval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0.1</w:t>
            </w:r>
          </w:p>
        </w:tc>
        <w:tc>
          <w:tcPr>
            <w:tcW w:type="dxa" w:w="15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Aug. 2026</w:t>
            </w:r>
          </w:p>
        </w:tc>
        <w:tc>
          <w:tcPr>
            <w:tcW w:type="dxa" w:w="316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Initial starter draft</w:t>
            </w:r>
          </w:p>
        </w:tc>
        <w:tc>
          <w:tcPr>
            <w:tcW w:type="dxa" w:w="19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Customer Operations</w:t>
            </w:r>
          </w:p>
        </w:tc>
        <w:tc>
          <w:tcPr>
            <w:tcW w:type="dxa" w:w="1800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Draft</w:t>
            </w:r>
          </w:p>
        </w:tc>
      </w:tr>
      <w:tr>
        <w:trPr>
          <w:cantSplit/>
        </w:trPr>
        <w:tc>
          <w:tcPr>
            <w:tcW w:type="dxa" w:w="10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1.0</w:t>
            </w:r>
          </w:p>
        </w:tc>
        <w:tc>
          <w:tcPr>
            <w:tcW w:type="dxa" w:w="15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[Date]</w:t>
            </w:r>
          </w:p>
        </w:tc>
        <w:tc>
          <w:tcPr>
            <w:tcW w:type="dxa" w:w="316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Approved organization-specific instruction</w:t>
            </w:r>
          </w:p>
        </w:tc>
        <w:tc>
          <w:tcPr>
            <w:tcW w:type="dxa" w:w="19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[Owner]</w:t>
            </w:r>
          </w:p>
        </w:tc>
        <w:tc>
          <w:tcPr>
            <w:tcW w:type="dxa" w:w="1800"/>
            <w:shd w:fill="ECF0F6"/>
            <w:vAlign w:val="center"/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[Approver]</w:t>
            </w:r>
          </w:p>
        </w:tc>
      </w:tr>
    </w:tbl>
    <w:p>
      <w:pPr>
        <w:spacing w:after="60"/>
      </w:pPr>
    </w:p>
    <w:p>
      <w:pPr>
        <w:pStyle w:val="Quote"/>
        <w:spacing w:before="120" w:after="180"/>
        <w:shd w:fill="ECF0F6"/>
        <w:pBdr>
          <w:left w:val="single" w:sz="18" w:space="8" w:color="355070"/>
        </w:pBdr>
      </w:pPr>
      <w:r>
        <w:rPr>
          <w:rFonts w:ascii="Calibri" w:hAnsi="Calibri"/>
          <w:b/>
          <w:color w:val="1E2B42"/>
          <w:sz w:val="22"/>
        </w:rPr>
        <w:t xml:space="preserve">Required review: </w:t>
      </w:r>
      <w:r>
        <w:rPr>
          <w:rFonts w:ascii="Calibri" w:hAnsi="Calibri"/>
          <w:color w:val="1E2B42"/>
          <w:sz w:val="22"/>
        </w:rPr>
        <w:t>Replace every sample role, threshold, system, policy, exception, record, and message. Validate this instruction with the people who perform and approve the work before controlled publication.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00" w:val="right"/>
      </w:tabs>
      <w:spacing w:before="0" w:after="0"/>
    </w:pPr>
    <w:r>
      <w:rPr>
        <w:rFonts w:ascii="Calibri" w:hAnsi="Calibri"/>
        <w:color w:val="59645D"/>
        <w:sz w:val="16"/>
      </w:rPr>
      <w:t>Free starter template | brandquill.app</w:t>
    </w:r>
    <w:r>
      <w:tab/>
    </w:r>
    <w:r>
      <w:rPr>
        <w:rFonts w:ascii="Calibri" w:hAnsi="Calibri"/>
        <w:color w:val="59645D"/>
        <w:sz w:val="16"/>
      </w:rPr>
      <w:t xml:space="preserve">Page </w:t>
    </w:r>
    <w:r>
      <w:rPr>
        <w:rFonts w:ascii="Calibri" w:hAnsi="Calibri"/>
        <w:color w:val="59645D"/>
        <w:sz w:val="16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59645D"/>
        <w:sz w:val="16"/>
      </w:rPr>
      <w:t xml:space="preserve"> of </w:t>
    </w:r>
    <w:r>
      <w:rPr>
        <w:rFonts w:ascii="Calibri" w:hAnsi="Calibri"/>
        <w:color w:val="59645D"/>
        <w:sz w:val="16"/>
      </w:rPr>
      <w:fldChar w:fldCharType="begin"/>
      <w:instrText xml:space="preserve"> NUMPAGES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</w:pPr>
    <w:r>
      <w:rPr>
        <w:rFonts w:ascii="Calibri" w:hAnsi="Calibri"/>
        <w:b/>
        <w:color w:val="355070"/>
        <w:sz w:val="16"/>
      </w:rPr>
      <w:t>BRANDQUILL</w:t>
    </w:r>
    <w:r>
      <w:tab/>
    </w:r>
    <w:r>
      <w:rPr>
        <w:rFonts w:ascii="Calibri" w:hAnsi="Calibri"/>
        <w:b/>
        <w:color w:val="59645D"/>
        <w:sz w:val="16"/>
      </w:rPr>
      <w:t>WORK INSTRUCTION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  <w:num w:numId="12">
    <w:abstractNumId w:val="9"/>
    <w:lvlOverride w:ilvl="0">
      <w:startOverride w:val="1"/>
    </w:lvlOverride>
  </w:num>
  <w:num w:numId="1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20" w:line="300" w:lineRule="auto"/>
      <w:jc w:val="left"/>
    </w:pPr>
    <w:rPr>
      <w:rFonts w:ascii="Calibri" w:hAnsi="Calibri"/>
      <w:b w:val="0"/>
      <w:i w:val="0"/>
      <w:color w:val="17211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35507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35507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E2B4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  <w:jc w:val="center"/>
    </w:pPr>
    <w:rPr>
      <w:rFonts w:asciiTheme="majorHAnsi" w:eastAsiaTheme="majorEastAsia" w:hAnsiTheme="majorHAnsi" w:cstheme="majorBidi" w:ascii="Calibri" w:hAnsi="Calibri"/>
      <w:b/>
      <w:i w:val="0"/>
      <w:color w:val="1E2B42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76" w:lineRule="auto"/>
      <w:jc w:val="center"/>
    </w:pPr>
    <w:rPr>
      <w:rFonts w:asciiTheme="majorHAnsi" w:eastAsiaTheme="majorEastAsia" w:hAnsiTheme="majorHAnsi" w:cstheme="majorBidi" w:ascii="Calibri" w:hAnsi="Calibri"/>
      <w:b w:val="0"/>
      <w:i w:val="0"/>
      <w:iCs/>
      <w:color w:val="59645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keepNext w:val="0"/>
      <w:spacing w:before="0" w:after="80" w:line="300" w:lineRule="auto"/>
      <w:ind w:left="720"/>
      <w:contextualSpacing/>
    </w:pPr>
    <w:rPr>
      <w:rFonts w:ascii="Calibri" w:hAnsi="Calibri"/>
      <w:b w:val="0"/>
      <w:i w:val="0"/>
      <w:color w:val="17211B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keepNext w:val="0"/>
      <w:spacing w:before="160" w:after="200" w:line="288" w:lineRule="auto"/>
      <w:ind w:left="259" w:right="115"/>
    </w:pPr>
    <w:rPr>
      <w:rFonts w:ascii="Calibri" w:hAnsi="Calibri"/>
      <w:b/>
      <w:i w:val="0"/>
      <w:iCs/>
      <w:color w:val="1E2B42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  <w:b w:val="0"/>
      <w:i w:val="0"/>
      <w:color w:val="17211B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pPr>
      <w:keepNext w:val="0"/>
      <w:spacing w:before="80" w:after="160" w:line="240" w:lineRule="auto"/>
    </w:pPr>
    <w:rPr>
      <w:rFonts w:ascii="Courier New" w:hAnsi="Courier New"/>
      <w:b w:val="0"/>
      <w:i w:val="0"/>
      <w:color w:val="17211B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BrandQuill Work Instruction Starter Template</dc:title>
  <dc:subject>A concise task-level work instruction with controlled fields, prerequisites, warnings, numbered actions, completion criteria, exceptions, records, approval, and revision history.</dc:subject>
  <dc:creator/>
  <cp:keywords>BrandQuill, Word template, DOCX, editable document</cp:keywords>
  <dc:description>Free work instruction starter template from brandquill.app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