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840"/>
      </w:pPr>
    </w:p>
    <w:p>
      <w:pPr>
        <w:keepNext/>
        <w:spacing w:before="0" w:after="240"/>
        <w:jc w:val="center"/>
      </w:pPr>
      <w:r>
        <w:rPr>
          <w:rFonts w:ascii="Calibri" w:hAnsi="Calibri"/>
          <w:b/>
          <w:color w:val="B8582B"/>
          <w:sz w:val="18"/>
        </w:rPr>
        <w:t>STATEMENT OF WORK</w:t>
      </w:r>
    </w:p>
    <w:p>
      <w:pPr>
        <w:pStyle w:val="Title"/>
        <w:jc w:val="center"/>
        <w:pBdr>
          <w:bottom w:val="single" w:sz="10" w:space="10" w:color="B8582B"/>
        </w:pBdr>
      </w:pPr>
      <w:r>
        <w:rPr>
          <w:rFonts w:ascii="Calibri" w:hAnsi="Calibri"/>
          <w:b/>
          <w:color w:val="4A2A1C"/>
          <w:sz w:val="60"/>
        </w:rPr>
        <w:t>Website analytics implementation</w:t>
      </w:r>
    </w:p>
    <w:p>
      <w:pPr>
        <w:pStyle w:val="Subtitle"/>
        <w:jc w:val="center"/>
      </w:pPr>
      <w:r>
        <w:rPr>
          <w:rFonts w:ascii="Calibri" w:hAnsi="Calibri"/>
          <w:color w:val="59645D"/>
          <w:sz w:val="28"/>
        </w:rPr>
        <w:t>SOW 2026-08 | Version 1.0</w:t>
      </w:r>
    </w:p>
    <w:p>
      <w:pPr>
        <w:spacing w:after="60"/>
        <w:jc w:val="center"/>
      </w:pPr>
      <w:r>
        <w:rPr>
          <w:rFonts w:ascii="Calibri" w:hAnsi="Calibri"/>
          <w:b/>
          <w:color w:val="4A2A1C"/>
          <w:sz w:val="20"/>
        </w:rPr>
        <w:t xml:space="preserve">Prepared for: </w:t>
      </w:r>
      <w:r>
        <w:rPr>
          <w:rFonts w:ascii="Calibri" w:hAnsi="Calibri"/>
          <w:color w:val="59645D"/>
          <w:sz w:val="20"/>
        </w:rPr>
        <w:t>Cedar &amp; Finch, Inc.</w:t>
      </w:r>
    </w:p>
    <w:p>
      <w:pPr>
        <w:spacing w:after="60"/>
        <w:jc w:val="center"/>
      </w:pPr>
      <w:r>
        <w:rPr>
          <w:rFonts w:ascii="Calibri" w:hAnsi="Calibri"/>
          <w:b/>
          <w:color w:val="4A2A1C"/>
          <w:sz w:val="20"/>
        </w:rPr>
        <w:t xml:space="preserve">Prepared by: </w:t>
      </w:r>
      <w:r>
        <w:rPr>
          <w:rFonts w:ascii="Calibri" w:hAnsi="Calibri"/>
          <w:color w:val="59645D"/>
          <w:sz w:val="20"/>
        </w:rPr>
        <w:t>Northwind Strategy, LLC</w:t>
      </w:r>
    </w:p>
    <w:p>
      <w:pPr>
        <w:spacing w:after="60"/>
        <w:jc w:val="center"/>
      </w:pPr>
      <w:r>
        <w:rPr>
          <w:rFonts w:ascii="Calibri" w:hAnsi="Calibri"/>
          <w:b/>
          <w:color w:val="4A2A1C"/>
          <w:sz w:val="20"/>
        </w:rPr>
        <w:t xml:space="preserve">Date: </w:t>
      </w:r>
      <w:r>
        <w:rPr>
          <w:rFonts w:ascii="Calibri" w:hAnsi="Calibri"/>
          <w:color w:val="59645D"/>
          <w:sz w:val="20"/>
        </w:rPr>
        <w:t>Effective date: September 1, 2026</w:t>
      </w:r>
    </w:p>
    <w:p>
      <w:pPr>
        <w:spacing w:before="1200" w:after="0"/>
        <w:jc w:val="center"/>
      </w:pPr>
      <w:r>
        <w:rPr>
          <w:rFonts w:ascii="Calibri" w:hAnsi="Calibri"/>
          <w:i/>
          <w:color w:val="59645D"/>
          <w:sz w:val="18"/>
        </w:rPr>
        <w:t>Sample commercial content only. Replace it with reviewed terms and obtain appropriate legal approval before signature.</w:t>
      </w:r>
    </w:p>
    <w:p>
      <w:r>
        <w:br w:type="page"/>
      </w:r>
    </w:p>
    <w:p>
      <w:pPr>
        <w:pStyle w:val="Heading1"/>
      </w:pPr>
      <w:r>
        <w:t>1. Purpose</w:t>
      </w:r>
    </w:p>
    <w:p>
      <w:pPr/>
      <w:r>
        <w:t>This statement of work defines the services, deliverables, responsibilities, schedule, and fees for implementing a dependable website analytics foundation for Cedar &amp; Finch. It is intended to operate under the parties' separately executed master services agreement.</w:t>
      </w:r>
    </w:p>
    <w:p>
      <w:pPr>
        <w:pStyle w:val="Heading1"/>
      </w:pPr>
      <w:r>
        <w:t>2. Scope</w:t>
      </w:r>
    </w:p>
    <w:p>
      <w:pPr>
        <w:pStyle w:val="Heading2"/>
      </w:pPr>
      <w:r>
        <w:t>In scope</w:t>
      </w:r>
    </w:p>
    <w:p>
      <w:pPr>
        <w:pStyle w:val="ListParagraph"/>
        <w:numPr>
          <w:ilvl w:val="0"/>
          <w:numId w:val="12"/>
        </w:numPr>
      </w:pPr>
      <w:r>
        <w:t>Measurement plan for the primary acquisition and conversion journey.</w:t>
      </w:r>
    </w:p>
    <w:p>
      <w:pPr>
        <w:pStyle w:val="ListParagraph"/>
        <w:numPr>
          <w:ilvl w:val="0"/>
          <w:numId w:val="12"/>
        </w:numPr>
      </w:pPr>
      <w:r>
        <w:t>Implementation of approved events in the existing tag-management environment.</w:t>
      </w:r>
    </w:p>
    <w:p>
      <w:pPr>
        <w:pStyle w:val="ListParagraph"/>
        <w:numPr>
          <w:ilvl w:val="0"/>
          <w:numId w:val="12"/>
        </w:numPr>
      </w:pPr>
      <w:r>
        <w:t>Quality assurance across current production browsers and agreed test scenarios.</w:t>
      </w:r>
    </w:p>
    <w:p>
      <w:pPr>
        <w:pStyle w:val="ListParagraph"/>
        <w:numPr>
          <w:ilvl w:val="0"/>
          <w:numId w:val="12"/>
        </w:numPr>
      </w:pPr>
      <w:r>
        <w:t>One reporting dashboard and a recorded handoff session.</w:t>
      </w:r>
    </w:p>
    <w:p>
      <w:pPr>
        <w:pStyle w:val="Heading2"/>
      </w:pPr>
      <w:r>
        <w:t>Out of scope</w:t>
      </w:r>
    </w:p>
    <w:p>
      <w:pPr>
        <w:pStyle w:val="ListParagraph"/>
        <w:numPr>
          <w:ilvl w:val="0"/>
          <w:numId w:val="13"/>
        </w:numPr>
      </w:pPr>
      <w:r>
        <w:t>Website redesign, copywriting, paid media management, or data warehouse implementation.</w:t>
      </w:r>
    </w:p>
    <w:p>
      <w:pPr>
        <w:pStyle w:val="ListParagraph"/>
        <w:numPr>
          <w:ilvl w:val="0"/>
          <w:numId w:val="13"/>
        </w:numPr>
      </w:pPr>
      <w:r>
        <w:t>Changes to systems that the client or its vendors do not authorize.</w:t>
      </w:r>
    </w:p>
    <w:p>
      <w:pPr>
        <w:pStyle w:val="ListParagraph"/>
        <w:numPr>
          <w:ilvl w:val="0"/>
          <w:numId w:val="13"/>
        </w:numPr>
      </w:pPr>
      <w:r>
        <w:t>Legal, regulatory, privacy, tax, or accounting advice.</w:t>
      </w:r>
    </w:p>
    <w:p>
      <w:pPr>
        <w:pStyle w:val="Heading1"/>
      </w:pPr>
      <w:r>
        <w:t>3. Deliverables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3150"/>
        <w:gridCol w:w="3810"/>
        <w:gridCol w:w="1500"/>
      </w:tblGrid>
      <w:tr>
        <w:trPr>
          <w:tblHeader w:val="true"/>
        </w:trPr>
        <w:tc>
          <w:tcPr>
            <w:tcW w:type="dxa" w:w="90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ID</w:t>
            </w:r>
          </w:p>
        </w:tc>
        <w:tc>
          <w:tcPr>
            <w:tcW w:type="dxa" w:w="315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Deliverable</w:t>
            </w:r>
          </w:p>
        </w:tc>
        <w:tc>
          <w:tcPr>
            <w:tcW w:type="dxa" w:w="381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Acceptance basis</w:t>
            </w:r>
          </w:p>
        </w:tc>
        <w:tc>
          <w:tcPr>
            <w:tcW w:type="dxa" w:w="150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Due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D1</w:t>
            </w:r>
          </w:p>
        </w:tc>
        <w:tc>
          <w:tcPr>
            <w:tcW w:type="dxa" w:w="3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Approved measurement plan</w:t>
            </w:r>
          </w:p>
        </w:tc>
        <w:tc>
          <w:tcPr>
            <w:tcW w:type="dxa" w:w="3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Written approval against agreed journey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Week 1</w:t>
            </w:r>
          </w:p>
        </w:tc>
      </w:tr>
      <w:tr>
        <w:trPr>
          <w:cantSplit/>
        </w:trPr>
        <w:tc>
          <w:tcPr>
            <w:tcW w:type="dxa" w:w="9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D2</w:t>
            </w:r>
          </w:p>
        </w:tc>
        <w:tc>
          <w:tcPr>
            <w:tcW w:type="dxa" w:w="315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Implemented tracking events</w:t>
            </w:r>
          </w:p>
        </w:tc>
        <w:tc>
          <w:tcPr>
            <w:tcW w:type="dxa" w:w="381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Test cases pass in staging and production</w:t>
            </w:r>
          </w:p>
        </w:tc>
        <w:tc>
          <w:tcPr>
            <w:tcW w:type="dxa" w:w="15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Week 3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D3</w:t>
            </w:r>
          </w:p>
        </w:tc>
        <w:tc>
          <w:tcPr>
            <w:tcW w:type="dxa" w:w="3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Dashboard and handoff</w:t>
            </w:r>
          </w:p>
        </w:tc>
        <w:tc>
          <w:tcPr>
            <w:tcW w:type="dxa" w:w="3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Dashboard access and recorded session delivered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Week 4</w:t>
            </w:r>
          </w:p>
        </w:tc>
      </w:tr>
    </w:tbl>
    <w:p>
      <w:pPr>
        <w:spacing w:after="60"/>
      </w:pPr>
    </w:p>
    <w:p>
      <w:r>
        <w:br w:type="page"/>
      </w:r>
    </w:p>
    <w:p>
      <w:pPr>
        <w:pStyle w:val="Heading1"/>
      </w:pPr>
      <w:r>
        <w:t>4. Milestones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560"/>
        <w:gridCol w:w="2200"/>
        <w:gridCol w:w="2600"/>
      </w:tblGrid>
      <w:tr>
        <w:trPr>
          <w:tblHeader w:val="true"/>
        </w:trPr>
        <w:tc>
          <w:tcPr>
            <w:tcW w:type="dxa" w:w="456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220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60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Decision owner</w:t>
            </w:r>
          </w:p>
        </w:tc>
      </w:tr>
      <w:tr>
        <w:trPr>
          <w:cantSplit/>
        </w:trPr>
        <w:tc>
          <w:tcPr>
            <w:tcW w:type="dxa" w:w="4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Kickoff and access confirmed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Sep. 3, 2026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project lead</w:t>
            </w:r>
          </w:p>
        </w:tc>
      </w:tr>
      <w:tr>
        <w:trPr>
          <w:cantSplit/>
        </w:trPr>
        <w:tc>
          <w:tcPr>
            <w:tcW w:type="dxa" w:w="456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Measurement plan approved</w:t>
            </w:r>
          </w:p>
        </w:tc>
        <w:tc>
          <w:tcPr>
            <w:tcW w:type="dxa" w:w="22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Sep. 10, 2026</w:t>
            </w:r>
          </w:p>
        </w:tc>
        <w:tc>
          <w:tcPr>
            <w:tcW w:type="dxa" w:w="26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product owner</w:t>
            </w:r>
          </w:p>
        </w:tc>
      </w:tr>
      <w:tr>
        <w:trPr>
          <w:cantSplit/>
        </w:trPr>
        <w:tc>
          <w:tcPr>
            <w:tcW w:type="dxa" w:w="4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Production validation complete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Sep. 24, 2026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Joint project team</w:t>
            </w:r>
          </w:p>
        </w:tc>
      </w:tr>
      <w:tr>
        <w:trPr>
          <w:cantSplit/>
        </w:trPr>
        <w:tc>
          <w:tcPr>
            <w:tcW w:type="dxa" w:w="456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Handoff accepted</w:t>
            </w:r>
          </w:p>
        </w:tc>
        <w:tc>
          <w:tcPr>
            <w:tcW w:type="dxa" w:w="22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Calibri" w:hAnsi="Calibri"/>
                <w:color w:val="17211B"/>
                <w:sz w:val="19"/>
              </w:rPr>
              <w:t>Sep. 30, 2026</w:t>
            </w:r>
          </w:p>
        </w:tc>
        <w:tc>
          <w:tcPr>
            <w:tcW w:type="dxa" w:w="26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Client project lead</w:t>
            </w:r>
          </w:p>
        </w:tc>
      </w:tr>
    </w:tbl>
    <w:p>
      <w:pPr>
        <w:spacing w:after="60"/>
      </w:pPr>
    </w:p>
    <w:p>
      <w:pPr>
        <w:pStyle w:val="Heading1"/>
      </w:pPr>
      <w:r>
        <w:t>5. Responsibilities</w:t>
      </w:r>
    </w:p>
    <w:p>
      <w:pPr>
        <w:pStyle w:val="Heading2"/>
      </w:pPr>
      <w:r>
        <w:t>Client</w:t>
      </w:r>
    </w:p>
    <w:p>
      <w:pPr>
        <w:pStyle w:val="ListParagraph"/>
        <w:numPr>
          <w:ilvl w:val="0"/>
          <w:numId w:val="14"/>
        </w:numPr>
      </w:pPr>
      <w:r>
        <w:t>Provide timely access, source materials, test accounts, and one authorized decision maker.</w:t>
      </w:r>
    </w:p>
    <w:p>
      <w:pPr>
        <w:pStyle w:val="ListParagraph"/>
        <w:numPr>
          <w:ilvl w:val="0"/>
          <w:numId w:val="14"/>
        </w:numPr>
      </w:pPr>
      <w:r>
        <w:t>Review deliverables within three business days and consolidate stakeholder feedback.</w:t>
      </w:r>
    </w:p>
    <w:p>
      <w:pPr>
        <w:pStyle w:val="ListParagraph"/>
        <w:numPr>
          <w:ilvl w:val="0"/>
          <w:numId w:val="14"/>
        </w:numPr>
      </w:pPr>
      <w:r>
        <w:t>Confirm that the approved implementation meets the client's privacy and compliance requirements.</w:t>
      </w:r>
    </w:p>
    <w:p>
      <w:pPr>
        <w:pStyle w:val="Heading2"/>
      </w:pPr>
      <w:r>
        <w:t>Provider</w:t>
      </w:r>
    </w:p>
    <w:p>
      <w:pPr>
        <w:pStyle w:val="ListParagraph"/>
        <w:numPr>
          <w:ilvl w:val="0"/>
          <w:numId w:val="15"/>
        </w:numPr>
      </w:pPr>
      <w:r>
        <w:t>Perform the services with reasonable care and qualified personnel.</w:t>
      </w:r>
    </w:p>
    <w:p>
      <w:pPr>
        <w:pStyle w:val="ListParagraph"/>
        <w:numPr>
          <w:ilvl w:val="0"/>
          <w:numId w:val="15"/>
        </w:numPr>
      </w:pPr>
      <w:r>
        <w:t>Communicate material risks, dependencies, and schedule impacts promptly.</w:t>
      </w:r>
    </w:p>
    <w:p>
      <w:pPr>
        <w:pStyle w:val="ListParagraph"/>
        <w:numPr>
          <w:ilvl w:val="0"/>
          <w:numId w:val="15"/>
        </w:numPr>
      </w:pPr>
      <w:r>
        <w:t>Protect client credentials and return or delete them at the end of the engagement.</w:t>
      </w:r>
    </w:p>
    <w:p>
      <w:pPr>
        <w:pStyle w:val="Heading1"/>
      </w:pPr>
      <w:r>
        <w:t>6. Acceptance</w:t>
      </w:r>
    </w:p>
    <w:p>
      <w:pPr>
        <w:pStyle w:val="ListParagraph"/>
        <w:numPr>
          <w:ilvl w:val="0"/>
          <w:numId w:val="16"/>
        </w:numPr>
      </w:pPr>
      <w:r>
        <w:t>Provider submits the deliverable and identifies the applicable acceptance basis.</w:t>
      </w:r>
    </w:p>
    <w:p>
      <w:pPr>
        <w:pStyle w:val="ListParagraph"/>
        <w:numPr>
          <w:ilvl w:val="0"/>
          <w:numId w:val="16"/>
        </w:numPr>
      </w:pPr>
      <w:r>
        <w:t>Client accepts the deliverable or provides specific written deficiencies within three business days.</w:t>
      </w:r>
    </w:p>
    <w:p>
      <w:pPr>
        <w:pStyle w:val="ListParagraph"/>
        <w:numPr>
          <w:ilvl w:val="0"/>
          <w:numId w:val="16"/>
        </w:numPr>
      </w:pPr>
      <w:r>
        <w:t>Provider addresses agreed deficiencies and resubmits the deliverable for confirmation.</w:t>
      </w:r>
    </w:p>
    <w:p>
      <w:r>
        <w:br w:type="page"/>
      </w:r>
    </w:p>
    <w:p>
      <w:pPr>
        <w:pStyle w:val="Heading1"/>
      </w:pPr>
      <w:r>
        <w:t>7. Fees and invoicing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100"/>
        <w:gridCol w:w="2200"/>
        <w:gridCol w:w="3060"/>
      </w:tblGrid>
      <w:tr>
        <w:trPr>
          <w:tblHeader w:val="true"/>
        </w:trPr>
        <w:tc>
          <w:tcPr>
            <w:tcW w:type="dxa" w:w="410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Fee</w:t>
            </w:r>
          </w:p>
        </w:tc>
        <w:tc>
          <w:tcPr>
            <w:tcW w:type="dxa" w:w="220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righ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Amount</w:t>
            </w:r>
          </w:p>
        </w:tc>
        <w:tc>
          <w:tcPr>
            <w:tcW w:type="dxa" w:w="3060"/>
            <w:shd w:fill="4A2A1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Invoice timing</w:t>
            </w:r>
          </w:p>
        </w:tc>
      </w:tr>
      <w:tr>
        <w:trPr>
          <w:cantSplit/>
        </w:trPr>
        <w:tc>
          <w:tcPr>
            <w:tcW w:type="dxa" w:w="4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Implementation services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Calibri" w:hAnsi="Calibri"/>
                <w:color w:val="17211B"/>
                <w:sz w:val="19"/>
              </w:rPr>
              <w:t>$12,000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50 percent at kickoff</w:t>
            </w:r>
          </w:p>
        </w:tc>
      </w:tr>
      <w:tr>
        <w:trPr>
          <w:cantSplit/>
        </w:trPr>
        <w:tc>
          <w:tcPr>
            <w:tcW w:type="dxa" w:w="41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Completion payment</w:t>
            </w:r>
          </w:p>
        </w:tc>
        <w:tc>
          <w:tcPr>
            <w:tcW w:type="dxa" w:w="220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Calibri" w:hAnsi="Calibri"/>
                <w:color w:val="17211B"/>
                <w:sz w:val="19"/>
              </w:rPr>
              <w:t>$12,000</w:t>
            </w:r>
          </w:p>
        </w:tc>
        <w:tc>
          <w:tcPr>
            <w:tcW w:type="dxa" w:w="3060"/>
            <w:shd w:fill="F7ECE6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50 percent at acceptance</w:t>
            </w:r>
          </w:p>
        </w:tc>
      </w:tr>
      <w:tr>
        <w:trPr>
          <w:cantSplit/>
        </w:trPr>
        <w:tc>
          <w:tcPr>
            <w:tcW w:type="dxa" w:w="4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Approved additional services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Calibri" w:hAnsi="Calibri"/>
                <w:color w:val="17211B"/>
                <w:sz w:val="19"/>
              </w:rPr>
              <w:t>$250 per hour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Calibri" w:hAnsi="Calibri"/>
                <w:color w:val="17211B"/>
                <w:sz w:val="19"/>
              </w:rPr>
              <w:t>Monthly in arrears</w:t>
            </w:r>
          </w:p>
        </w:tc>
      </w:tr>
    </w:tbl>
    <w:p>
      <w:pPr>
        <w:spacing w:after="60"/>
      </w:pPr>
    </w:p>
    <w:p>
      <w:pPr/>
      <w:r>
        <w:t>Client will reimburse only pre-approved, documented out-of-pocket expenses. Taxes, payment timing, late fees, and currency treatment are governed by the applicable agreement.</w:t>
      </w:r>
    </w:p>
    <w:p>
      <w:pPr>
        <w:pStyle w:val="Heading1"/>
      </w:pPr>
      <w:r>
        <w:t>8. Assumptions and change control</w:t>
      </w:r>
    </w:p>
    <w:p>
      <w:pPr>
        <w:pStyle w:val="ListParagraph"/>
        <w:numPr>
          <w:ilvl w:val="0"/>
          <w:numId w:val="17"/>
        </w:numPr>
      </w:pPr>
      <w:r>
        <w:t>The schedule assumes access and review decisions occur by the dates above.</w:t>
      </w:r>
    </w:p>
    <w:p>
      <w:pPr>
        <w:pStyle w:val="ListParagraph"/>
        <w:numPr>
          <w:ilvl w:val="0"/>
          <w:numId w:val="17"/>
        </w:numPr>
      </w:pPr>
      <w:r>
        <w:t>A material change to scope, assumptions, dependencies, or timing requires a written change order.</w:t>
      </w:r>
    </w:p>
    <w:p>
      <w:pPr>
        <w:pStyle w:val="ListParagraph"/>
        <w:numPr>
          <w:ilvl w:val="0"/>
          <w:numId w:val="17"/>
        </w:numPr>
      </w:pPr>
      <w:r>
        <w:t>Each change order should state the requested change, impact on fees and schedule, and authorized approvals.</w:t>
      </w:r>
    </w:p>
    <w:p>
      <w:pPr>
        <w:pStyle w:val="Heading1"/>
      </w:pPr>
      <w:r>
        <w:t>9. Signatures</w:t>
      </w:r>
    </w:p>
    <w:p>
      <w:pPr/>
      <w:r>
        <w:t>CEDAR &amp; FINCH, INC.</w:t>
        <w:br/>
        <w:t>Authorized signature: ______________________________</w:t>
        <w:br/>
        <w:t>Name and title: __________________________________</w:t>
        <w:br/>
        <w:t>Date: ___________________________________________</w:t>
      </w:r>
    </w:p>
    <w:p>
      <w:pPr/>
      <w:r>
        <w:t>NORTHWIND STRATEGY, LLC</w:t>
        <w:br/>
        <w:t>Authorized signature: ______________________________</w:t>
        <w:br/>
        <w:t>Name and title: __________________________________</w:t>
        <w:br/>
        <w:t>Date: ___________________________________________</w:t>
      </w:r>
    </w:p>
    <w:p>
      <w:pPr>
        <w:pStyle w:val="Quote"/>
        <w:spacing w:before="160" w:after="240"/>
        <w:shd w:fill="F7ECE6"/>
        <w:pBdr>
          <w:left w:val="single" w:sz="18" w:space="8" w:color="B8582B"/>
        </w:pBdr>
      </w:pPr>
      <w:r>
        <w:rPr>
          <w:rFonts w:ascii="Calibri" w:hAnsi="Calibri"/>
          <w:b/>
          <w:color w:val="4A2A1C"/>
          <w:sz w:val="22"/>
        </w:rPr>
        <w:t xml:space="preserve">Legal review: </w:t>
      </w:r>
      <w:r>
        <w:rPr>
          <w:rFonts w:ascii="Calibri" w:hAnsi="Calibri"/>
          <w:color w:val="4A2A1C"/>
          <w:sz w:val="22"/>
        </w:rPr>
        <w:t>This starter is not legal advice. Confirm the governing agreement, complete terms, authority, and enforceability with qualified counsel before use.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0" w:after="0"/>
    </w:pPr>
    <w:r>
      <w:rPr>
        <w:rFonts w:ascii="Calibri" w:hAnsi="Calibri"/>
        <w:color w:val="59645D"/>
        <w:sz w:val="16"/>
      </w:rPr>
      <w:t>Free starter template | brandquill.app</w:t>
    </w:r>
    <w:r>
      <w:tab/>
    </w:r>
    <w:r>
      <w:rPr>
        <w:rFonts w:ascii="Calibri" w:hAnsi="Calibri"/>
        <w:color w:val="59645D"/>
        <w:sz w:val="16"/>
      </w:rPr>
      <w:t xml:space="preserve">Page </w:t>
    </w:r>
    <w:r>
      <w:rPr>
        <w:rFonts w:ascii="Calibri" w:hAnsi="Calibri"/>
        <w:color w:val="59645D"/>
        <w:sz w:val="16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59645D"/>
        <w:sz w:val="16"/>
      </w:rPr>
      <w:t xml:space="preserve"> of </w:t>
    </w:r>
    <w:r>
      <w:rPr>
        <w:rFonts w:ascii="Calibri" w:hAnsi="Calibri"/>
        <w:color w:val="59645D"/>
        <w:sz w:val="16"/>
      </w:rPr>
      <w:fldChar w:fldCharType="begin"/>
      <w:instrText xml:space="preserve"> NUMPAGES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</w:pPr>
    <w:r>
      <w:rPr>
        <w:rFonts w:ascii="Calibri" w:hAnsi="Calibri"/>
        <w:b/>
        <w:color w:val="B8582B"/>
        <w:sz w:val="16"/>
      </w:rPr>
      <w:t>BRANDQUILL</w:t>
    </w:r>
    <w:r>
      <w:tab/>
    </w:r>
    <w:r>
      <w:rPr>
        <w:rFonts w:ascii="Calibri" w:hAnsi="Calibri"/>
        <w:b/>
        <w:color w:val="59645D"/>
        <w:sz w:val="16"/>
      </w:rPr>
      <w:t>STATEMENT OF WORK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20" w:line="300" w:lineRule="auto"/>
      <w:jc w:val="left"/>
    </w:pPr>
    <w:rPr>
      <w:rFonts w:ascii="Calibri" w:hAnsi="Calibri"/>
      <w:b w:val="0"/>
      <w:i w:val="0"/>
      <w:color w:val="17211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B8582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B8582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4A2A1C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  <w:jc w:val="center"/>
    </w:pPr>
    <w:rPr>
      <w:rFonts w:asciiTheme="majorHAnsi" w:eastAsiaTheme="majorEastAsia" w:hAnsiTheme="majorHAnsi" w:cstheme="majorBidi" w:ascii="Calibri" w:hAnsi="Calibri"/>
      <w:b/>
      <w:i w:val="0"/>
      <w:color w:val="4A2A1C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76" w:lineRule="auto"/>
      <w:jc w:val="center"/>
    </w:pPr>
    <w:rPr>
      <w:rFonts w:asciiTheme="majorHAnsi" w:eastAsiaTheme="majorEastAsia" w:hAnsiTheme="majorHAnsi" w:cstheme="majorBidi" w:ascii="Calibri" w:hAnsi="Calibri"/>
      <w:b w:val="0"/>
      <w:i w:val="0"/>
      <w:iCs/>
      <w:color w:val="59645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keepNext w:val="0"/>
      <w:spacing w:before="0" w:after="80" w:line="300" w:lineRule="auto"/>
      <w:ind w:left="720"/>
      <w:contextualSpacing/>
    </w:pPr>
    <w:rPr>
      <w:rFonts w:ascii="Calibri" w:hAnsi="Calibri"/>
      <w:b w:val="0"/>
      <w:i w:val="0"/>
      <w:color w:val="17211B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keepNext w:val="0"/>
      <w:spacing w:before="160" w:after="200" w:line="288" w:lineRule="auto"/>
      <w:ind w:left="259" w:right="115"/>
    </w:pPr>
    <w:rPr>
      <w:rFonts w:ascii="Calibri" w:hAnsi="Calibri"/>
      <w:b/>
      <w:i w:val="0"/>
      <w:iCs/>
      <w:color w:val="4A2A1C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  <w:b w:val="0"/>
      <w:i w:val="0"/>
      <w:color w:val="17211B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pPr>
      <w:keepNext w:val="0"/>
      <w:spacing w:before="80" w:after="160" w:line="240" w:lineRule="auto"/>
    </w:pPr>
    <w:rPr>
      <w:rFonts w:ascii="Courier New" w:hAnsi="Courier New"/>
      <w:b w:val="0"/>
      <w:i w:val="0"/>
      <w:color w:val="17211B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BrandQuill Statement of Work Starter Template</dc:title>
  <dc:subject>A reusable statement of work template with scope, deliverables, milestones, acceptance, fees, and change control.</dc:subject>
  <dc:creator/>
  <cp:keywords>BrandQuill, Word template, DOCX, editable document</cp:keywords>
  <dc:description>Free statement of work starter template from brandquill.app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