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40"/>
      </w:pPr>
    </w:p>
    <w:p>
      <w:pPr>
        <w:keepNext/>
        <w:spacing w:before="0" w:after="240"/>
        <w:jc w:val="left"/>
      </w:pPr>
      <w:r>
        <w:rPr>
          <w:rFonts w:ascii="Calibri" w:hAnsi="Calibri"/>
          <w:b/>
          <w:color w:val="355070"/>
          <w:sz w:val="18"/>
        </w:rPr>
        <w:t>STANDARD OPERATING PROCEDURE</w:t>
      </w:r>
    </w:p>
    <w:p>
      <w:pPr>
        <w:pStyle w:val="Title"/>
        <w:jc w:val="left"/>
      </w:pPr>
      <w:r>
        <w:rPr>
          <w:rFonts w:ascii="Calibri" w:hAnsi="Calibri"/>
          <w:b/>
          <w:color w:val="1E2B42"/>
          <w:sz w:val="62"/>
        </w:rPr>
        <w:t>New client onboarding</w:t>
      </w:r>
    </w:p>
    <w:p>
      <w:pPr>
        <w:pStyle w:val="Subtitle"/>
        <w:jc w:val="left"/>
      </w:pPr>
      <w:r>
        <w:rPr>
          <w:rFonts w:ascii="Calibri" w:hAnsi="Calibri"/>
          <w:color w:val="59645D"/>
          <w:sz w:val="28"/>
        </w:rPr>
        <w:t>From signed agreement to kickoff</w:t>
      </w:r>
    </w:p>
    <w:tbl>
      <w:tblPr>
        <w:tblStyle w:val="TableGrid"/>
        <w:tblW w:type="dxa" w:w="9360"/>
        <w:tblLayout w:type="fixed"/>
        <w:tblLook w:firstColumn="1" w:firstRow="1" w:lastColumn="0" w:lastRow="0" w:noHBand="0" w:noVBand="1" w:val="04A0"/>
        <w:tblInd w:w="120" w:type="dxa"/>
      </w:tblPr>
      <w:tblGrid>
        <w:gridCol w:w="2700"/>
        <w:gridCol w:w="6660"/>
      </w:tblGrid>
      <w:tr>
        <w:trPr>
          <w:tblHeader w:val="true"/>
        </w:trPr>
        <w:tc>
          <w:tcPr>
            <w:tcW w:type="dxa" w:w="2700"/>
            <w:shd w:fill="1E2B42"/>
            <w:vAlign w:val="center"/>
            <w:tcMar>
              <w:top w:w="70" w:type="dxa"/>
              <w:bottom w:w="70" w:type="dxa"/>
              <w:start w:w="120" w:type="dxa"/>
              <w:end w:w="120" w:type="dxa"/>
            </w:tcMar>
          </w:tcPr>
          <w:p>
            <w:pPr>
              <w:spacing w:after="0"/>
              <w:jc w:val="left"/>
            </w:pPr>
            <w:r/>
            <w:r>
              <w:rPr>
                <w:rFonts w:ascii="Calibri" w:hAnsi="Calibri"/>
                <w:b/>
                <w:color w:val="FFFFFF"/>
                <w:sz w:val="19"/>
              </w:rPr>
              <w:t>Controlled field</w:t>
            </w:r>
          </w:p>
        </w:tc>
        <w:tc>
          <w:tcPr>
            <w:tcW w:type="dxa" w:w="6660"/>
            <w:shd w:fill="1E2B42"/>
            <w:vAlign w:val="center"/>
            <w:tcMar>
              <w:top w:w="70" w:type="dxa"/>
              <w:bottom w:w="70" w:type="dxa"/>
              <w:start w:w="120" w:type="dxa"/>
              <w:end w:w="120" w:type="dxa"/>
            </w:tcMar>
          </w:tcPr>
          <w:p>
            <w:pPr>
              <w:spacing w:after="0"/>
              <w:jc w:val="left"/>
            </w:pPr>
            <w:r/>
            <w:r>
              <w:rPr>
                <w:rFonts w:ascii="Calibri" w:hAnsi="Calibri"/>
                <w:b/>
                <w:color w:val="FFFFFF"/>
                <w:sz w:val="19"/>
              </w:rPr>
              <w:t>Approved value</w:t>
            </w:r>
          </w:p>
        </w:tc>
      </w:tr>
      <w:tr>
        <w:trPr>
          <w:cantSplit/>
        </w:trPr>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Document owner</w:t>
            </w:r>
          </w:p>
        </w:tc>
        <w:tc>
          <w:tcPr>
            <w:tcW w:type="dxa" w:w="66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Operations</w:t>
            </w:r>
          </w:p>
        </w:tc>
      </w:tr>
      <w:tr>
        <w:trPr>
          <w:cantSplit/>
        </w:trPr>
        <w:tc>
          <w:tcPr>
            <w:tcW w:type="dxa" w:w="2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Version and status</w:t>
            </w:r>
          </w:p>
        </w:tc>
        <w:tc>
          <w:tcPr>
            <w:tcW w:type="dxa" w:w="66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1.0 | Approved</w:t>
            </w:r>
          </w:p>
        </w:tc>
      </w:tr>
      <w:tr>
        <w:trPr>
          <w:cantSplit/>
        </w:trPr>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Effective date</w:t>
            </w:r>
          </w:p>
        </w:tc>
        <w:tc>
          <w:tcPr>
            <w:tcW w:type="dxa" w:w="66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September 1, 2026</w:t>
            </w:r>
          </w:p>
        </w:tc>
      </w:tr>
      <w:tr>
        <w:trPr>
          <w:cantSplit/>
        </w:trPr>
        <w:tc>
          <w:tcPr>
            <w:tcW w:type="dxa" w:w="2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Review cycle</w:t>
            </w:r>
          </w:p>
        </w:tc>
        <w:tc>
          <w:tcPr>
            <w:tcW w:type="dxa" w:w="66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Every 12 months or after a material process change</w:t>
            </w:r>
          </w:p>
        </w:tc>
      </w:tr>
      <w:tr>
        <w:trPr>
          <w:cantSplit/>
        </w:trPr>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 by</w:t>
            </w:r>
          </w:p>
        </w:tc>
        <w:tc>
          <w:tcPr>
            <w:tcW w:type="dxa" w:w="66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Director of Client Services</w:t>
            </w:r>
          </w:p>
        </w:tc>
      </w:tr>
    </w:tbl>
    <w:p>
      <w:pPr>
        <w:spacing w:after="60"/>
      </w:pPr>
    </w:p>
    <w:p>
      <w:pPr>
        <w:pStyle w:val="Quote"/>
        <w:spacing w:before="120" w:after="180"/>
        <w:shd w:fill="ECF0F6"/>
        <w:pBdr>
          <w:left w:val="single" w:sz="18" w:space="8" w:color="355070"/>
        </w:pBdr>
      </w:pPr>
      <w:r>
        <w:rPr>
          <w:rFonts w:ascii="Calibri" w:hAnsi="Calibri"/>
          <w:b/>
          <w:color w:val="1E2B42"/>
          <w:sz w:val="22"/>
        </w:rPr>
        <w:t xml:space="preserve">Purpose: </w:t>
      </w:r>
      <w:r>
        <w:rPr>
          <w:rFonts w:ascii="Calibri" w:hAnsi="Calibri"/>
          <w:color w:val="1E2B42"/>
          <w:sz w:val="22"/>
        </w:rPr>
        <w:t>Create a complete, accurate, and repeatable handoff from a signed client agreement to a prepared kickoff meeting within five business days.</w:t>
      </w:r>
    </w:p>
    <w:p>
      <w:pPr>
        <w:pStyle w:val="Heading1"/>
      </w:pPr>
      <w:r>
        <w:t>Scope</w:t>
      </w:r>
    </w:p>
    <w:p>
      <w:pPr/>
      <w:r>
        <w:t>This procedure applies to new retained-service clients after the agreement and initial payment are confirmed. It covers internal setup, information collection, access requests, kickoff preparation, and the final readiness check. Contract review, billing disputes, security exceptions, and implementation delivery follow their separate approved procedures.</w:t>
      </w:r>
    </w:p>
    <w:p>
      <w:pPr>
        <w:pStyle w:val="Heading1"/>
      </w:pPr>
      <w:r>
        <w:t>Roles and responsibilities</w:t>
      </w:r>
    </w:p>
    <w:tbl>
      <w:tblPr>
        <w:tblStyle w:val="TableGrid"/>
        <w:tblW w:type="dxa" w:w="9360"/>
        <w:tblLayout w:type="fixed"/>
        <w:tblLook w:firstColumn="1" w:firstRow="1" w:lastColumn="0" w:lastRow="0" w:noHBand="0" w:noVBand="1" w:val="04A0"/>
        <w:tblInd w:w="120" w:type="dxa"/>
      </w:tblPr>
      <w:tblGrid>
        <w:gridCol w:w="2500"/>
        <w:gridCol w:w="4560"/>
        <w:gridCol w:w="2300"/>
      </w:tblGrid>
      <w:tr>
        <w:trPr>
          <w:tblHeader w:val="true"/>
        </w:trPr>
        <w:tc>
          <w:tcPr>
            <w:tcW w:type="dxa" w:w="2500"/>
            <w:shd w:fill="1E2B42"/>
            <w:vAlign w:val="center"/>
            <w:tcMar>
              <w:top w:w="70" w:type="dxa"/>
              <w:bottom w:w="70" w:type="dxa"/>
              <w:start w:w="120" w:type="dxa"/>
              <w:end w:w="120" w:type="dxa"/>
            </w:tcMar>
          </w:tcPr>
          <w:p>
            <w:pPr>
              <w:spacing w:after="0"/>
              <w:jc w:val="left"/>
            </w:pPr>
            <w:r/>
            <w:r>
              <w:rPr>
                <w:rFonts w:ascii="Calibri" w:hAnsi="Calibri"/>
                <w:b/>
                <w:color w:val="FFFFFF"/>
                <w:sz w:val="19"/>
              </w:rPr>
              <w:t>Role</w:t>
            </w:r>
          </w:p>
        </w:tc>
        <w:tc>
          <w:tcPr>
            <w:tcW w:type="dxa" w:w="4560"/>
            <w:shd w:fill="1E2B42"/>
            <w:vAlign w:val="center"/>
            <w:tcMar>
              <w:top w:w="70" w:type="dxa"/>
              <w:bottom w:w="70" w:type="dxa"/>
              <w:start w:w="120" w:type="dxa"/>
              <w:end w:w="120" w:type="dxa"/>
            </w:tcMar>
          </w:tcPr>
          <w:p>
            <w:pPr>
              <w:spacing w:after="0"/>
              <w:jc w:val="left"/>
            </w:pPr>
            <w:r/>
            <w:r>
              <w:rPr>
                <w:rFonts w:ascii="Calibri" w:hAnsi="Calibri"/>
                <w:b/>
                <w:color w:val="FFFFFF"/>
                <w:sz w:val="19"/>
              </w:rPr>
              <w:t>Responsibility</w:t>
            </w:r>
          </w:p>
        </w:tc>
        <w:tc>
          <w:tcPr>
            <w:tcW w:type="dxa" w:w="2300"/>
            <w:shd w:fill="1E2B42"/>
            <w:vAlign w:val="center"/>
            <w:tcMar>
              <w:top w:w="70" w:type="dxa"/>
              <w:bottom w:w="70" w:type="dxa"/>
              <w:start w:w="120" w:type="dxa"/>
              <w:end w:w="120" w:type="dxa"/>
            </w:tcMar>
          </w:tcPr>
          <w:p>
            <w:pPr>
              <w:spacing w:after="0"/>
              <w:jc w:val="left"/>
            </w:pPr>
            <w:r/>
            <w:r>
              <w:rPr>
                <w:rFonts w:ascii="Calibri" w:hAnsi="Calibri"/>
                <w:b/>
                <w:color w:val="FFFFFF"/>
                <w:sz w:val="19"/>
              </w:rPr>
              <w:t>Accountability</w:t>
            </w:r>
          </w:p>
        </w:tc>
      </w:tr>
      <w:tr>
        <w:trPr>
          <w:cantSplit/>
        </w:trPr>
        <w:tc>
          <w:tcPr>
            <w:tcW w:type="dxa" w:w="25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c>
          <w:tcPr>
            <w:tcW w:type="dxa" w:w="45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Own the client relationship, confirm expectations, and lead kickoff</w:t>
            </w:r>
          </w:p>
        </w:tc>
        <w:tc>
          <w:tcPr>
            <w:tcW w:type="dxa" w:w="23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Kickoff readiness</w:t>
            </w:r>
          </w:p>
        </w:tc>
      </w:tr>
      <w:tr>
        <w:trPr>
          <w:cantSplit/>
        </w:trPr>
        <w:tc>
          <w:tcPr>
            <w:tcW w:type="dxa" w:w="25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Operations coordinator</w:t>
            </w:r>
          </w:p>
        </w:tc>
        <w:tc>
          <w:tcPr>
            <w:tcW w:type="dxa" w:w="45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Create records, request inputs, track access, and maintain evidence</w:t>
            </w:r>
          </w:p>
        </w:tc>
        <w:tc>
          <w:tcPr>
            <w:tcW w:type="dxa" w:w="23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Process completion</w:t>
            </w:r>
          </w:p>
        </w:tc>
      </w:tr>
      <w:tr>
        <w:trPr>
          <w:cantSplit/>
        </w:trPr>
        <w:tc>
          <w:tcPr>
            <w:tcW w:type="dxa" w:w="25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Finance partner</w:t>
            </w:r>
          </w:p>
        </w:tc>
        <w:tc>
          <w:tcPr>
            <w:tcW w:type="dxa" w:w="45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Confirm payment status and approved billing details</w:t>
            </w:r>
          </w:p>
        </w:tc>
        <w:tc>
          <w:tcPr>
            <w:tcW w:type="dxa" w:w="23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Financial clearance</w:t>
            </w:r>
          </w:p>
        </w:tc>
      </w:tr>
      <w:tr>
        <w:trPr>
          <w:cantSplit/>
        </w:trPr>
        <w:tc>
          <w:tcPr>
            <w:tcW w:type="dxa" w:w="25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Security owner</w:t>
            </w:r>
          </w:p>
        </w:tc>
        <w:tc>
          <w:tcPr>
            <w:tcW w:type="dxa" w:w="45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Review nonstandard access or data-handling requests</w:t>
            </w:r>
          </w:p>
        </w:tc>
        <w:tc>
          <w:tcPr>
            <w:tcW w:type="dxa" w:w="23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Exception approval</w:t>
            </w:r>
          </w:p>
        </w:tc>
      </w:tr>
    </w:tbl>
    <w:p>
      <w:pPr>
        <w:spacing w:after="60"/>
      </w:pPr>
    </w:p>
    <w:p>
      <w:pPr>
        <w:pStyle w:val="Heading1"/>
      </w:pPr>
      <w:r>
        <w:t>Prerequisites and required inputs</w:t>
      </w:r>
    </w:p>
    <w:p>
      <w:pPr>
        <w:pStyle w:val="ListParagraph"/>
        <w:numPr>
          <w:ilvl w:val="0"/>
          <w:numId w:val="12"/>
        </w:numPr>
      </w:pPr>
      <w:r>
        <w:t>Executed agreement and approved statement of work are stored in the contract repository.</w:t>
      </w:r>
    </w:p>
    <w:p>
      <w:pPr>
        <w:pStyle w:val="ListParagraph"/>
        <w:numPr>
          <w:ilvl w:val="0"/>
          <w:numId w:val="12"/>
        </w:numPr>
      </w:pPr>
      <w:r>
        <w:t>Initial payment or an approved billing exception is confirmed by Finance.</w:t>
      </w:r>
    </w:p>
    <w:p>
      <w:pPr>
        <w:pStyle w:val="ListParagraph"/>
        <w:numPr>
          <w:ilvl w:val="0"/>
          <w:numId w:val="12"/>
        </w:numPr>
      </w:pPr>
      <w:r>
        <w:t>Primary client contact, internal account owner, service tier, and target kickoff date are known.</w:t>
      </w:r>
    </w:p>
    <w:p>
      <w:pPr>
        <w:pStyle w:val="ListParagraph"/>
        <w:numPr>
          <w:ilvl w:val="0"/>
          <w:numId w:val="12"/>
        </w:numPr>
      </w:pPr>
      <w:r>
        <w:t>Any security, privacy, accessibility, or data-residency requirements are identified for review.</w:t>
      </w:r>
    </w:p>
    <w:p>
      <w:pPr>
        <w:pStyle w:val="Heading1"/>
      </w:pPr>
      <w:r>
        <w:t>Procedure</w:t>
      </w:r>
    </w:p>
    <w:p>
      <w:pPr>
        <w:pStyle w:val="ListParagraph"/>
        <w:numPr>
          <w:ilvl w:val="0"/>
          <w:numId w:val="13"/>
        </w:numPr>
      </w:pPr>
      <w:r>
        <w:t>Validate the handoff. Compare the signed agreement, statement of work, pricing record, and sales notes. Resolve conflicting scope, dates, contacts, or commitments before creating the client workspace.</w:t>
      </w:r>
    </w:p>
    <w:p>
      <w:pPr>
        <w:pStyle w:val="ListParagraph"/>
        <w:numPr>
          <w:ilvl w:val="0"/>
          <w:numId w:val="13"/>
        </w:numPr>
      </w:pPr>
      <w:r>
        <w:t>Create the client record. Enter the legal client name, primary contacts, service tier, billing reference, internal owner, and effective date in the approved system of record.</w:t>
      </w:r>
    </w:p>
    <w:p>
      <w:pPr>
        <w:pStyle w:val="ListParagraph"/>
        <w:numPr>
          <w:ilvl w:val="0"/>
          <w:numId w:val="13"/>
        </w:numPr>
      </w:pPr>
      <w:r>
        <w:t>Open the onboarding workspace. Create the approved folder structure, project record, communication channel, and onboarding checklist. Apply the correct access group instead of granting access person by person.</w:t>
      </w:r>
    </w:p>
    <w:p>
      <w:pPr>
        <w:pStyle w:val="ListParagraph"/>
        <w:numPr>
          <w:ilvl w:val="0"/>
          <w:numId w:val="13"/>
        </w:numPr>
      </w:pPr>
      <w:r>
        <w:t>Send the intake request. Use the approved intake message and request only information required for the agreed scope. Give the client one owner, one due date, and one secure submission route.</w:t>
      </w:r>
    </w:p>
    <w:p>
      <w:pPr>
        <w:pStyle w:val="ListParagraph"/>
        <w:numPr>
          <w:ilvl w:val="0"/>
          <w:numId w:val="13"/>
        </w:numPr>
      </w:pPr>
      <w:r>
        <w:t>Request systems access. Document each requested system, permission level, business purpose, approver, and expiration date. Route nonstandard or privileged access to the Security owner.</w:t>
      </w:r>
    </w:p>
    <w:p>
      <w:pPr>
        <w:pStyle w:val="ListParagraph"/>
        <w:numPr>
          <w:ilvl w:val="0"/>
          <w:numId w:val="13"/>
        </w:numPr>
      </w:pPr>
      <w:r>
        <w:t>Prepare the kickoff. Draft the agenda, confirmed objectives, success measures, responsibilities, first milestones, risks, decisions needed, and open questions using the approved kickoff template.</w:t>
      </w:r>
    </w:p>
    <w:p>
      <w:pPr>
        <w:pStyle w:val="ListParagraph"/>
        <w:numPr>
          <w:ilvl w:val="0"/>
          <w:numId w:val="13"/>
        </w:numPr>
      </w:pPr>
      <w:r>
        <w:t>Run the readiness check. Confirm the required inputs, people, systems, and approvals are present. Record gaps, owners, due dates, and any accepted exception.</w:t>
      </w:r>
    </w:p>
    <w:p>
      <w:pPr>
        <w:pStyle w:val="ListParagraph"/>
        <w:numPr>
          <w:ilvl w:val="0"/>
          <w:numId w:val="13"/>
        </w:numPr>
      </w:pPr>
      <w:r>
        <w:t>Release the kickoff. Send the final agenda and pre-read, update the client record, and notify the internal team only after the readiness criteria are satisfied or an authorized exception is recorded.</w:t>
      </w:r>
    </w:p>
    <w:p>
      <w:pPr>
        <w:pStyle w:val="Quote"/>
        <w:spacing w:before="120" w:after="180"/>
        <w:shd w:fill="ECF0F6"/>
        <w:pBdr>
          <w:left w:val="single" w:sz="18" w:space="8" w:color="355070"/>
        </w:pBdr>
      </w:pPr>
      <w:r>
        <w:rPr>
          <w:rFonts w:ascii="Calibri" w:hAnsi="Calibri"/>
          <w:b/>
          <w:color w:val="1E2B42"/>
          <w:sz w:val="22"/>
        </w:rPr>
        <w:t xml:space="preserve">Quality gate: </w:t>
      </w:r>
      <w:r>
        <w:rPr>
          <w:rFonts w:ascii="Calibri" w:hAnsi="Calibri"/>
          <w:color w:val="1E2B42"/>
          <w:sz w:val="22"/>
        </w:rPr>
        <w:t>Do not represent onboarding as ready while scope conflicts, payment status, required access, or material security questions remain unresolved without a documented owner and authorized exception.</w:t>
      </w:r>
    </w:p>
    <w:p>
      <w:r>
        <w:br w:type="page"/>
      </w:r>
    </w:p>
    <w:p>
      <w:pPr>
        <w:pStyle w:val="Heading1"/>
      </w:pPr>
      <w:r>
        <w:t>Quality checks</w:t>
      </w:r>
    </w:p>
    <w:tbl>
      <w:tblPr>
        <w:tblStyle w:val="TableGrid"/>
        <w:tblW w:type="dxa" w:w="9360"/>
        <w:tblLayout w:type="fixed"/>
        <w:tblLook w:firstColumn="1" w:firstRow="1" w:lastColumn="0" w:lastRow="0" w:noHBand="0" w:noVBand="1" w:val="04A0"/>
        <w:tblInd w:w="120" w:type="dxa"/>
      </w:tblPr>
      <w:tblGrid>
        <w:gridCol w:w="3300"/>
        <w:gridCol w:w="2560"/>
        <w:gridCol w:w="1900"/>
        <w:gridCol w:w="1600"/>
      </w:tblGrid>
      <w:tr>
        <w:trPr>
          <w:tblHeader w:val="true"/>
        </w:trPr>
        <w:tc>
          <w:tcPr>
            <w:tcW w:type="dxa" w:w="3300"/>
            <w:shd w:fill="1E2B42"/>
            <w:vAlign w:val="center"/>
            <w:tcMar>
              <w:top w:w="70" w:type="dxa"/>
              <w:bottom w:w="70" w:type="dxa"/>
              <w:start w:w="120" w:type="dxa"/>
              <w:end w:w="120" w:type="dxa"/>
            </w:tcMar>
          </w:tcPr>
          <w:p>
            <w:pPr>
              <w:spacing w:after="0"/>
              <w:jc w:val="left"/>
            </w:pPr>
            <w:r/>
            <w:r>
              <w:rPr>
                <w:rFonts w:ascii="Calibri" w:hAnsi="Calibri"/>
                <w:b/>
                <w:color w:val="FFFFFF"/>
                <w:sz w:val="19"/>
              </w:rPr>
              <w:t>Check</w:t>
            </w:r>
          </w:p>
        </w:tc>
        <w:tc>
          <w:tcPr>
            <w:tcW w:type="dxa" w:w="2560"/>
            <w:shd w:fill="1E2B42"/>
            <w:vAlign w:val="center"/>
            <w:tcMar>
              <w:top w:w="70" w:type="dxa"/>
              <w:bottom w:w="70" w:type="dxa"/>
              <w:start w:w="120" w:type="dxa"/>
              <w:end w:w="120" w:type="dxa"/>
            </w:tcMar>
          </w:tcPr>
          <w:p>
            <w:pPr>
              <w:spacing w:after="0"/>
              <w:jc w:val="left"/>
            </w:pPr>
            <w:r/>
            <w:r>
              <w:rPr>
                <w:rFonts w:ascii="Calibri" w:hAnsi="Calibri"/>
                <w:b/>
                <w:color w:val="FFFFFF"/>
                <w:sz w:val="19"/>
              </w:rPr>
              <w:t>Evidence</w:t>
            </w:r>
          </w:p>
        </w:tc>
        <w:tc>
          <w:tcPr>
            <w:tcW w:type="dxa" w:w="1900"/>
            <w:shd w:fill="1E2B42"/>
            <w:vAlign w:val="center"/>
            <w:tcMar>
              <w:top w:w="70" w:type="dxa"/>
              <w:bottom w:w="70" w:type="dxa"/>
              <w:start w:w="120" w:type="dxa"/>
              <w:end w:w="120" w:type="dxa"/>
            </w:tcMar>
          </w:tcPr>
          <w:p>
            <w:pPr>
              <w:spacing w:after="0"/>
              <w:jc w:val="left"/>
            </w:pPr>
            <w:r/>
            <w:r>
              <w:rPr>
                <w:rFonts w:ascii="Calibri" w:hAnsi="Calibri"/>
                <w:b/>
                <w:color w:val="FFFFFF"/>
                <w:sz w:val="19"/>
              </w:rPr>
              <w:t>Owner</w:t>
            </w:r>
          </w:p>
        </w:tc>
        <w:tc>
          <w:tcPr>
            <w:tcW w:type="dxa" w:w="1600"/>
            <w:shd w:fill="1E2B42"/>
            <w:vAlign w:val="center"/>
            <w:tcMar>
              <w:top w:w="70" w:type="dxa"/>
              <w:bottom w:w="70" w:type="dxa"/>
              <w:start w:w="120" w:type="dxa"/>
              <w:end w:w="120" w:type="dxa"/>
            </w:tcMar>
          </w:tcPr>
          <w:p>
            <w:pPr>
              <w:spacing w:after="0"/>
              <w:jc w:val="left"/>
            </w:pPr>
            <w:r/>
            <w:r>
              <w:rPr>
                <w:rFonts w:ascii="Calibri" w:hAnsi="Calibri"/>
                <w:b/>
                <w:color w:val="FFFFFF"/>
                <w:sz w:val="19"/>
              </w:rPr>
              <w:t>Timing</w:t>
            </w:r>
          </w:p>
        </w:tc>
      </w:tr>
      <w:tr>
        <w:trPr>
          <w:cantSplit/>
        </w:trPr>
        <w:tc>
          <w:tcPr>
            <w:tcW w:type="dxa" w:w="33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Scope and commitments match the signed documents</w:t>
            </w:r>
          </w:p>
        </w:tc>
        <w:tc>
          <w:tcPr>
            <w:tcW w:type="dxa" w:w="25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Handoff checklist</w:t>
            </w:r>
          </w:p>
        </w:tc>
        <w:tc>
          <w:tcPr>
            <w:tcW w:type="dxa" w:w="19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c>
          <w:tcPr>
            <w:tcW w:type="dxa" w:w="16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Before setup</w:t>
            </w:r>
          </w:p>
        </w:tc>
      </w:tr>
      <w:tr>
        <w:trPr>
          <w:cantSplit/>
        </w:trPr>
        <w:tc>
          <w:tcPr>
            <w:tcW w:type="dxa" w:w="33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and billing records contain required fields</w:t>
            </w:r>
          </w:p>
        </w:tc>
        <w:tc>
          <w:tcPr>
            <w:tcW w:type="dxa" w:w="25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System record</w:t>
            </w:r>
          </w:p>
        </w:tc>
        <w:tc>
          <w:tcPr>
            <w:tcW w:type="dxa" w:w="19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Operations</w:t>
            </w:r>
          </w:p>
        </w:tc>
        <w:tc>
          <w:tcPr>
            <w:tcW w:type="dxa" w:w="16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Day 1</w:t>
            </w:r>
          </w:p>
        </w:tc>
      </w:tr>
      <w:tr>
        <w:trPr>
          <w:cantSplit/>
        </w:trPr>
        <w:tc>
          <w:tcPr>
            <w:tcW w:type="dxa" w:w="33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Access follows least-privilege and approval rules</w:t>
            </w:r>
          </w:p>
        </w:tc>
        <w:tc>
          <w:tcPr>
            <w:tcW w:type="dxa" w:w="25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Access log</w:t>
            </w:r>
          </w:p>
        </w:tc>
        <w:tc>
          <w:tcPr>
            <w:tcW w:type="dxa" w:w="19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Security owner</w:t>
            </w:r>
          </w:p>
        </w:tc>
        <w:tc>
          <w:tcPr>
            <w:tcW w:type="dxa" w:w="16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Before kickoff</w:t>
            </w:r>
          </w:p>
        </w:tc>
      </w:tr>
      <w:tr>
        <w:trPr>
          <w:cantSplit/>
        </w:trPr>
        <w:tc>
          <w:tcPr>
            <w:tcW w:type="dxa" w:w="33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Agenda, objectives, owners, and milestones are confirmed</w:t>
            </w:r>
          </w:p>
        </w:tc>
        <w:tc>
          <w:tcPr>
            <w:tcW w:type="dxa" w:w="25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 pre-read</w:t>
            </w:r>
          </w:p>
        </w:tc>
        <w:tc>
          <w:tcPr>
            <w:tcW w:type="dxa" w:w="19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c>
          <w:tcPr>
            <w:tcW w:type="dxa" w:w="16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One day before</w:t>
            </w:r>
          </w:p>
        </w:tc>
      </w:tr>
    </w:tbl>
    <w:p>
      <w:pPr>
        <w:spacing w:after="60"/>
      </w:pPr>
    </w:p>
    <w:p>
      <w:pPr>
        <w:pStyle w:val="Heading1"/>
      </w:pPr>
      <w:r>
        <w:t>Exceptions and escalation</w:t>
      </w:r>
    </w:p>
    <w:tbl>
      <w:tblPr>
        <w:tblStyle w:val="TableGrid"/>
        <w:tblW w:type="dxa" w:w="9360"/>
        <w:tblLayout w:type="fixed"/>
        <w:tblLook w:firstColumn="1" w:firstRow="1" w:lastColumn="0" w:lastRow="0" w:noHBand="0" w:noVBand="1" w:val="04A0"/>
        <w:tblInd w:w="120" w:type="dxa"/>
      </w:tblPr>
      <w:tblGrid>
        <w:gridCol w:w="3000"/>
        <w:gridCol w:w="4660"/>
        <w:gridCol w:w="1700"/>
      </w:tblGrid>
      <w:tr>
        <w:trPr>
          <w:tblHeader w:val="true"/>
        </w:trPr>
        <w:tc>
          <w:tcPr>
            <w:tcW w:type="dxa" w:w="3000"/>
            <w:shd w:fill="1E2B42"/>
            <w:vAlign w:val="center"/>
            <w:tcMar>
              <w:top w:w="70" w:type="dxa"/>
              <w:bottom w:w="70" w:type="dxa"/>
              <w:start w:w="120" w:type="dxa"/>
              <w:end w:w="120" w:type="dxa"/>
            </w:tcMar>
          </w:tcPr>
          <w:p>
            <w:pPr>
              <w:spacing w:after="0"/>
              <w:jc w:val="left"/>
            </w:pPr>
            <w:r/>
            <w:r>
              <w:rPr>
                <w:rFonts w:ascii="Calibri" w:hAnsi="Calibri"/>
                <w:b/>
                <w:color w:val="FFFFFF"/>
                <w:sz w:val="19"/>
              </w:rPr>
              <w:t>Trigger</w:t>
            </w:r>
          </w:p>
        </w:tc>
        <w:tc>
          <w:tcPr>
            <w:tcW w:type="dxa" w:w="4660"/>
            <w:shd w:fill="1E2B42"/>
            <w:vAlign w:val="center"/>
            <w:tcMar>
              <w:top w:w="70" w:type="dxa"/>
              <w:bottom w:w="70" w:type="dxa"/>
              <w:start w:w="120" w:type="dxa"/>
              <w:end w:w="120" w:type="dxa"/>
            </w:tcMar>
          </w:tcPr>
          <w:p>
            <w:pPr>
              <w:spacing w:after="0"/>
              <w:jc w:val="left"/>
            </w:pPr>
            <w:r/>
            <w:r>
              <w:rPr>
                <w:rFonts w:ascii="Calibri" w:hAnsi="Calibri"/>
                <w:b/>
                <w:color w:val="FFFFFF"/>
                <w:sz w:val="19"/>
              </w:rPr>
              <w:t>Required response</w:t>
            </w:r>
          </w:p>
        </w:tc>
        <w:tc>
          <w:tcPr>
            <w:tcW w:type="dxa" w:w="1700"/>
            <w:shd w:fill="1E2B42"/>
            <w:vAlign w:val="center"/>
            <w:tcMar>
              <w:top w:w="70" w:type="dxa"/>
              <w:bottom w:w="70" w:type="dxa"/>
              <w:start w:w="120" w:type="dxa"/>
              <w:end w:w="120" w:type="dxa"/>
            </w:tcMar>
          </w:tcPr>
          <w:p>
            <w:pPr>
              <w:spacing w:after="0"/>
              <w:jc w:val="left"/>
            </w:pPr>
            <w:r/>
            <w:r>
              <w:rPr>
                <w:rFonts w:ascii="Calibri" w:hAnsi="Calibri"/>
                <w:b/>
                <w:color w:val="FFFFFF"/>
                <w:sz w:val="19"/>
              </w:rPr>
              <w:t>Escalation owner</w:t>
            </w:r>
          </w:p>
        </w:tc>
      </w:tr>
      <w:tr>
        <w:trPr>
          <w:cantSplit/>
        </w:trPr>
        <w:tc>
          <w:tcPr>
            <w:tcW w:type="dxa" w:w="3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Agreement and sales handoff conflict</w:t>
            </w:r>
          </w:p>
        </w:tc>
        <w:tc>
          <w:tcPr>
            <w:tcW w:type="dxa" w:w="46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Pause setup and obtain written scope clarification</w:t>
            </w:r>
          </w:p>
        </w:tc>
        <w:tc>
          <w:tcPr>
            <w:tcW w:type="dxa" w:w="1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r>
      <w:tr>
        <w:trPr>
          <w:cantSplit/>
        </w:trPr>
        <w:tc>
          <w:tcPr>
            <w:tcW w:type="dxa" w:w="30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Payment is not confirmed</w:t>
            </w:r>
          </w:p>
        </w:tc>
        <w:tc>
          <w:tcPr>
            <w:tcW w:type="dxa" w:w="46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Pause external kickoff activity or record an approved billing exception</w:t>
            </w:r>
          </w:p>
        </w:tc>
        <w:tc>
          <w:tcPr>
            <w:tcW w:type="dxa" w:w="1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Finance partner</w:t>
            </w:r>
          </w:p>
        </w:tc>
      </w:tr>
      <w:tr>
        <w:trPr>
          <w:cantSplit/>
        </w:trPr>
        <w:tc>
          <w:tcPr>
            <w:tcW w:type="dxa" w:w="30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Privileged or nonstandard access is requested</w:t>
            </w:r>
          </w:p>
        </w:tc>
        <w:tc>
          <w:tcPr>
            <w:tcW w:type="dxa" w:w="46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Do not grant access until the Security owner approves the request</w:t>
            </w:r>
          </w:p>
        </w:tc>
        <w:tc>
          <w:tcPr>
            <w:tcW w:type="dxa" w:w="1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Security owner</w:t>
            </w:r>
          </w:p>
        </w:tc>
      </w:tr>
      <w:tr>
        <w:trPr>
          <w:cantSplit/>
        </w:trPr>
        <w:tc>
          <w:tcPr>
            <w:tcW w:type="dxa" w:w="30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Required input will miss the kickoff date</w:t>
            </w:r>
          </w:p>
        </w:tc>
        <w:tc>
          <w:tcPr>
            <w:tcW w:type="dxa" w:w="46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Document impact, propose a new date or reduced agenda, and obtain approval</w:t>
            </w:r>
          </w:p>
        </w:tc>
        <w:tc>
          <w:tcPr>
            <w:tcW w:type="dxa" w:w="1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Services director</w:t>
            </w:r>
          </w:p>
        </w:tc>
      </w:tr>
    </w:tbl>
    <w:p>
      <w:pPr>
        <w:spacing w:after="60"/>
      </w:pPr>
    </w:p>
    <w:p>
      <w:pPr>
        <w:pStyle w:val="Heading1"/>
      </w:pPr>
      <w:r>
        <w:t>Records and retention</w:t>
      </w:r>
    </w:p>
    <w:tbl>
      <w:tblPr>
        <w:tblStyle w:val="TableGrid"/>
        <w:tblW w:type="dxa" w:w="9360"/>
        <w:tblLayout w:type="fixed"/>
        <w:tblLook w:firstColumn="1" w:firstRow="1" w:lastColumn="0" w:lastRow="0" w:noHBand="0" w:noVBand="1" w:val="04A0"/>
        <w:tblInd w:w="120" w:type="dxa"/>
      </w:tblPr>
      <w:tblGrid>
        <w:gridCol w:w="2500"/>
        <w:gridCol w:w="2400"/>
        <w:gridCol w:w="2700"/>
        <w:gridCol w:w="1760"/>
      </w:tblGrid>
      <w:tr>
        <w:trPr>
          <w:tblHeader w:val="true"/>
        </w:trPr>
        <w:tc>
          <w:tcPr>
            <w:tcW w:type="dxa" w:w="2500"/>
            <w:shd w:fill="1E2B42"/>
            <w:vAlign w:val="center"/>
            <w:tcMar>
              <w:top w:w="70" w:type="dxa"/>
              <w:bottom w:w="70" w:type="dxa"/>
              <w:start w:w="120" w:type="dxa"/>
              <w:end w:w="120" w:type="dxa"/>
            </w:tcMar>
          </w:tcPr>
          <w:p>
            <w:pPr>
              <w:spacing w:after="0"/>
              <w:jc w:val="left"/>
            </w:pPr>
            <w:r/>
            <w:r>
              <w:rPr>
                <w:rFonts w:ascii="Calibri" w:hAnsi="Calibri"/>
                <w:b/>
                <w:color w:val="FFFFFF"/>
                <w:sz w:val="19"/>
              </w:rPr>
              <w:t>Record</w:t>
            </w:r>
          </w:p>
        </w:tc>
        <w:tc>
          <w:tcPr>
            <w:tcW w:type="dxa" w:w="2400"/>
            <w:shd w:fill="1E2B42"/>
            <w:vAlign w:val="center"/>
            <w:tcMar>
              <w:top w:w="70" w:type="dxa"/>
              <w:bottom w:w="70" w:type="dxa"/>
              <w:start w:w="120" w:type="dxa"/>
              <w:end w:w="120" w:type="dxa"/>
            </w:tcMar>
          </w:tcPr>
          <w:p>
            <w:pPr>
              <w:spacing w:after="0"/>
              <w:jc w:val="left"/>
            </w:pPr>
            <w:r/>
            <w:r>
              <w:rPr>
                <w:rFonts w:ascii="Calibri" w:hAnsi="Calibri"/>
                <w:b/>
                <w:color w:val="FFFFFF"/>
                <w:sz w:val="19"/>
              </w:rPr>
              <w:t>Approved location</w:t>
            </w:r>
          </w:p>
        </w:tc>
        <w:tc>
          <w:tcPr>
            <w:tcW w:type="dxa" w:w="2700"/>
            <w:shd w:fill="1E2B42"/>
            <w:vAlign w:val="center"/>
            <w:tcMar>
              <w:top w:w="70" w:type="dxa"/>
              <w:bottom w:w="70" w:type="dxa"/>
              <w:start w:w="120" w:type="dxa"/>
              <w:end w:w="120" w:type="dxa"/>
            </w:tcMar>
          </w:tcPr>
          <w:p>
            <w:pPr>
              <w:spacing w:after="0"/>
              <w:jc w:val="left"/>
            </w:pPr>
            <w:r/>
            <w:r>
              <w:rPr>
                <w:rFonts w:ascii="Calibri" w:hAnsi="Calibri"/>
                <w:b/>
                <w:color w:val="FFFFFF"/>
                <w:sz w:val="19"/>
              </w:rPr>
              <w:t>Retention rule</w:t>
            </w:r>
          </w:p>
        </w:tc>
        <w:tc>
          <w:tcPr>
            <w:tcW w:type="dxa" w:w="1760"/>
            <w:shd w:fill="1E2B42"/>
            <w:vAlign w:val="center"/>
            <w:tcMar>
              <w:top w:w="70" w:type="dxa"/>
              <w:bottom w:w="70" w:type="dxa"/>
              <w:start w:w="120" w:type="dxa"/>
              <w:end w:w="120" w:type="dxa"/>
            </w:tcMar>
          </w:tcPr>
          <w:p>
            <w:pPr>
              <w:spacing w:after="0"/>
              <w:jc w:val="left"/>
            </w:pPr>
            <w:r/>
            <w:r>
              <w:rPr>
                <w:rFonts w:ascii="Calibri" w:hAnsi="Calibri"/>
                <w:b/>
                <w:color w:val="FFFFFF"/>
                <w:sz w:val="19"/>
              </w:rPr>
              <w:t>Owner</w:t>
            </w:r>
          </w:p>
        </w:tc>
      </w:tr>
      <w:tr>
        <w:trPr>
          <w:cantSplit/>
        </w:trPr>
        <w:tc>
          <w:tcPr>
            <w:tcW w:type="dxa" w:w="25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Signed agreement and SOW</w:t>
            </w:r>
          </w:p>
        </w:tc>
        <w:tc>
          <w:tcPr>
            <w:tcW w:type="dxa" w:w="24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Contract repository</w:t>
            </w:r>
          </w:p>
        </w:tc>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Per contract policy</w:t>
            </w:r>
          </w:p>
        </w:tc>
        <w:tc>
          <w:tcPr>
            <w:tcW w:type="dxa" w:w="17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r>
      <w:tr>
        <w:trPr>
          <w:cantSplit/>
        </w:trPr>
        <w:tc>
          <w:tcPr>
            <w:tcW w:type="dxa" w:w="25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Intake and readiness checklist</w:t>
            </w:r>
          </w:p>
        </w:tc>
        <w:tc>
          <w:tcPr>
            <w:tcW w:type="dxa" w:w="24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workspace</w:t>
            </w:r>
          </w:p>
        </w:tc>
        <w:tc>
          <w:tcPr>
            <w:tcW w:type="dxa" w:w="2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term plus policy period</w:t>
            </w:r>
          </w:p>
        </w:tc>
        <w:tc>
          <w:tcPr>
            <w:tcW w:type="dxa" w:w="17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Operations</w:t>
            </w:r>
          </w:p>
        </w:tc>
      </w:tr>
      <w:tr>
        <w:trPr>
          <w:cantSplit/>
        </w:trPr>
        <w:tc>
          <w:tcPr>
            <w:tcW w:type="dxa" w:w="25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Access approvals and exceptions</w:t>
            </w:r>
          </w:p>
        </w:tc>
        <w:tc>
          <w:tcPr>
            <w:tcW w:type="dxa" w:w="24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Access log</w:t>
            </w:r>
          </w:p>
        </w:tc>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Per security policy</w:t>
            </w:r>
          </w:p>
        </w:tc>
        <w:tc>
          <w:tcPr>
            <w:tcW w:type="dxa" w:w="17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Security owner</w:t>
            </w:r>
          </w:p>
        </w:tc>
      </w:tr>
      <w:tr>
        <w:trPr>
          <w:cantSplit/>
        </w:trPr>
        <w:tc>
          <w:tcPr>
            <w:tcW w:type="dxa" w:w="25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Kickoff agenda and decisions</w:t>
            </w:r>
          </w:p>
        </w:tc>
        <w:tc>
          <w:tcPr>
            <w:tcW w:type="dxa" w:w="24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project record</w:t>
            </w:r>
          </w:p>
        </w:tc>
        <w:tc>
          <w:tcPr>
            <w:tcW w:type="dxa" w:w="2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Per records policy</w:t>
            </w:r>
          </w:p>
        </w:tc>
        <w:tc>
          <w:tcPr>
            <w:tcW w:type="dxa" w:w="17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Account lead</w:t>
            </w:r>
          </w:p>
        </w:tc>
      </w:tr>
    </w:tbl>
    <w:p>
      <w:pPr>
        <w:spacing w:after="60"/>
      </w:pPr>
    </w:p>
    <w:p>
      <w:r>
        <w:br w:type="page"/>
      </w:r>
    </w:p>
    <w:p>
      <w:pPr>
        <w:pStyle w:val="Heading1"/>
      </w:pPr>
      <w:r>
        <w:t>Approval</w:t>
      </w:r>
    </w:p>
    <w:tbl>
      <w:tblPr>
        <w:tblStyle w:val="TableGrid"/>
        <w:tblW w:type="dxa" w:w="9360"/>
        <w:tblLayout w:type="fixed"/>
        <w:tblLook w:firstColumn="1" w:firstRow="1" w:lastColumn="0" w:lastRow="0" w:noHBand="0" w:noVBand="1" w:val="04A0"/>
        <w:tblInd w:w="120" w:type="dxa"/>
      </w:tblPr>
      <w:tblGrid>
        <w:gridCol w:w="2700"/>
        <w:gridCol w:w="2500"/>
        <w:gridCol w:w="1860"/>
        <w:gridCol w:w="2300"/>
      </w:tblGrid>
      <w:tr>
        <w:trPr>
          <w:tblHeader w:val="true"/>
        </w:trPr>
        <w:tc>
          <w:tcPr>
            <w:tcW w:type="dxa" w:w="2700"/>
            <w:shd w:fill="1E2B42"/>
            <w:vAlign w:val="center"/>
            <w:tcMar>
              <w:top w:w="70" w:type="dxa"/>
              <w:bottom w:w="70" w:type="dxa"/>
              <w:start w:w="120" w:type="dxa"/>
              <w:end w:w="120" w:type="dxa"/>
            </w:tcMar>
          </w:tcPr>
          <w:p>
            <w:pPr>
              <w:spacing w:after="0"/>
              <w:jc w:val="left"/>
            </w:pPr>
            <w:r/>
            <w:r>
              <w:rPr>
                <w:rFonts w:ascii="Calibri" w:hAnsi="Calibri"/>
                <w:b/>
                <w:color w:val="FFFFFF"/>
                <w:sz w:val="19"/>
              </w:rPr>
              <w:t>Approval role</w:t>
            </w:r>
          </w:p>
        </w:tc>
        <w:tc>
          <w:tcPr>
            <w:tcW w:type="dxa" w:w="2500"/>
            <w:shd w:fill="1E2B42"/>
            <w:vAlign w:val="center"/>
            <w:tcMar>
              <w:top w:w="70" w:type="dxa"/>
              <w:bottom w:w="70" w:type="dxa"/>
              <w:start w:w="120" w:type="dxa"/>
              <w:end w:w="120" w:type="dxa"/>
            </w:tcMar>
          </w:tcPr>
          <w:p>
            <w:pPr>
              <w:spacing w:after="0"/>
              <w:jc w:val="left"/>
            </w:pPr>
            <w:r/>
            <w:r>
              <w:rPr>
                <w:rFonts w:ascii="Calibri" w:hAnsi="Calibri"/>
                <w:b/>
                <w:color w:val="FFFFFF"/>
                <w:sz w:val="19"/>
              </w:rPr>
              <w:t>Name</w:t>
            </w:r>
          </w:p>
        </w:tc>
        <w:tc>
          <w:tcPr>
            <w:tcW w:type="dxa" w:w="1860"/>
            <w:shd w:fill="1E2B42"/>
            <w:vAlign w:val="center"/>
            <w:tcMar>
              <w:top w:w="70" w:type="dxa"/>
              <w:bottom w:w="70" w:type="dxa"/>
              <w:start w:w="120" w:type="dxa"/>
              <w:end w:w="120" w:type="dxa"/>
            </w:tcMar>
          </w:tcPr>
          <w:p>
            <w:pPr>
              <w:spacing w:after="0"/>
              <w:jc w:val="left"/>
            </w:pPr>
            <w:r/>
            <w:r>
              <w:rPr>
                <w:rFonts w:ascii="Calibri" w:hAnsi="Calibri"/>
                <w:b/>
                <w:color w:val="FFFFFF"/>
                <w:sz w:val="19"/>
              </w:rPr>
              <w:t>Decision</w:t>
            </w:r>
          </w:p>
        </w:tc>
        <w:tc>
          <w:tcPr>
            <w:tcW w:type="dxa" w:w="2300"/>
            <w:shd w:fill="1E2B42"/>
            <w:vAlign w:val="center"/>
            <w:tcMar>
              <w:top w:w="70" w:type="dxa"/>
              <w:bottom w:w="70" w:type="dxa"/>
              <w:start w:w="120" w:type="dxa"/>
              <w:end w:w="120" w:type="dxa"/>
            </w:tcMar>
          </w:tcPr>
          <w:p>
            <w:pPr>
              <w:spacing w:after="0"/>
              <w:jc w:val="left"/>
            </w:pPr>
            <w:r/>
            <w:r>
              <w:rPr>
                <w:rFonts w:ascii="Calibri" w:hAnsi="Calibri"/>
                <w:b/>
                <w:color w:val="FFFFFF"/>
                <w:sz w:val="19"/>
              </w:rPr>
              <w:t>Date</w:t>
            </w:r>
          </w:p>
        </w:tc>
      </w:tr>
      <w:tr>
        <w:trPr>
          <w:cantSplit/>
        </w:trPr>
        <w:tc>
          <w:tcPr>
            <w:tcW w:type="dxa" w:w="27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Process owner</w:t>
            </w:r>
          </w:p>
        </w:tc>
        <w:tc>
          <w:tcPr>
            <w:tcW w:type="dxa" w:w="25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Avery Morgan</w:t>
            </w:r>
          </w:p>
        </w:tc>
        <w:tc>
          <w:tcPr>
            <w:tcW w:type="dxa" w:w="18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w:t>
            </w:r>
          </w:p>
        </w:tc>
        <w:tc>
          <w:tcPr>
            <w:tcW w:type="dxa" w:w="23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August 25, 2026</w:t>
            </w:r>
          </w:p>
        </w:tc>
      </w:tr>
      <w:tr>
        <w:trPr>
          <w:cantSplit/>
        </w:trPr>
        <w:tc>
          <w:tcPr>
            <w:tcW w:type="dxa" w:w="27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Security reviewer</w:t>
            </w:r>
          </w:p>
        </w:tc>
        <w:tc>
          <w:tcPr>
            <w:tcW w:type="dxa" w:w="25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Sam Rivera</w:t>
            </w:r>
          </w:p>
        </w:tc>
        <w:tc>
          <w:tcPr>
            <w:tcW w:type="dxa" w:w="18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w:t>
            </w:r>
          </w:p>
        </w:tc>
        <w:tc>
          <w:tcPr>
            <w:tcW w:type="dxa" w:w="23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August 25, 2026</w:t>
            </w:r>
          </w:p>
        </w:tc>
      </w:tr>
    </w:tbl>
    <w:p>
      <w:pPr>
        <w:spacing w:after="60"/>
      </w:pPr>
    </w:p>
    <w:p>
      <w:pPr>
        <w:pStyle w:val="Heading1"/>
      </w:pPr>
      <w:r>
        <w:t>Revision history</w:t>
      </w:r>
    </w:p>
    <w:tbl>
      <w:tblPr>
        <w:tblStyle w:val="TableGrid"/>
        <w:tblW w:type="dxa" w:w="9360"/>
        <w:tblLayout w:type="fixed"/>
        <w:tblLook w:firstColumn="1" w:firstRow="1" w:lastColumn="0" w:lastRow="0" w:noHBand="0" w:noVBand="1" w:val="04A0"/>
        <w:tblInd w:w="120" w:type="dxa"/>
      </w:tblPr>
      <w:tblGrid>
        <w:gridCol w:w="1100"/>
        <w:gridCol w:w="1800"/>
        <w:gridCol w:w="3100"/>
        <w:gridCol w:w="1900"/>
        <w:gridCol w:w="1460"/>
      </w:tblGrid>
      <w:tr>
        <w:trPr>
          <w:tblHeader w:val="true"/>
        </w:trPr>
        <w:tc>
          <w:tcPr>
            <w:tcW w:type="dxa" w:w="1100"/>
            <w:shd w:fill="1E2B42"/>
            <w:vAlign w:val="center"/>
            <w:tcMar>
              <w:top w:w="70" w:type="dxa"/>
              <w:bottom w:w="70" w:type="dxa"/>
              <w:start w:w="120" w:type="dxa"/>
              <w:end w:w="120" w:type="dxa"/>
            </w:tcMar>
          </w:tcPr>
          <w:p>
            <w:pPr>
              <w:spacing w:after="0"/>
              <w:jc w:val="left"/>
            </w:pPr>
            <w:r/>
            <w:r>
              <w:rPr>
                <w:rFonts w:ascii="Calibri" w:hAnsi="Calibri"/>
                <w:b/>
                <w:color w:val="FFFFFF"/>
                <w:sz w:val="19"/>
              </w:rPr>
              <w:t>Version</w:t>
            </w:r>
          </w:p>
        </w:tc>
        <w:tc>
          <w:tcPr>
            <w:tcW w:type="dxa" w:w="1800"/>
            <w:shd w:fill="1E2B42"/>
            <w:vAlign w:val="center"/>
            <w:tcMar>
              <w:top w:w="70" w:type="dxa"/>
              <w:bottom w:w="70" w:type="dxa"/>
              <w:start w:w="120" w:type="dxa"/>
              <w:end w:w="120" w:type="dxa"/>
            </w:tcMar>
          </w:tcPr>
          <w:p>
            <w:pPr>
              <w:spacing w:after="0"/>
              <w:jc w:val="left"/>
            </w:pPr>
            <w:r/>
            <w:r>
              <w:rPr>
                <w:rFonts w:ascii="Calibri" w:hAnsi="Calibri"/>
                <w:b/>
                <w:color w:val="FFFFFF"/>
                <w:sz w:val="19"/>
              </w:rPr>
              <w:t>Date</w:t>
            </w:r>
          </w:p>
        </w:tc>
        <w:tc>
          <w:tcPr>
            <w:tcW w:type="dxa" w:w="3100"/>
            <w:shd w:fill="1E2B42"/>
            <w:vAlign w:val="center"/>
            <w:tcMar>
              <w:top w:w="70" w:type="dxa"/>
              <w:bottom w:w="70" w:type="dxa"/>
              <w:start w:w="120" w:type="dxa"/>
              <w:end w:w="120" w:type="dxa"/>
            </w:tcMar>
          </w:tcPr>
          <w:p>
            <w:pPr>
              <w:spacing w:after="0"/>
              <w:jc w:val="left"/>
            </w:pPr>
            <w:r/>
            <w:r>
              <w:rPr>
                <w:rFonts w:ascii="Calibri" w:hAnsi="Calibri"/>
                <w:b/>
                <w:color w:val="FFFFFF"/>
                <w:sz w:val="19"/>
              </w:rPr>
              <w:t>Change</w:t>
            </w:r>
          </w:p>
        </w:tc>
        <w:tc>
          <w:tcPr>
            <w:tcW w:type="dxa" w:w="1900"/>
            <w:shd w:fill="1E2B42"/>
            <w:vAlign w:val="center"/>
            <w:tcMar>
              <w:top w:w="70" w:type="dxa"/>
              <w:bottom w:w="70" w:type="dxa"/>
              <w:start w:w="120" w:type="dxa"/>
              <w:end w:w="120" w:type="dxa"/>
            </w:tcMar>
          </w:tcPr>
          <w:p>
            <w:pPr>
              <w:spacing w:after="0"/>
              <w:jc w:val="left"/>
            </w:pPr>
            <w:r/>
            <w:r>
              <w:rPr>
                <w:rFonts w:ascii="Calibri" w:hAnsi="Calibri"/>
                <w:b/>
                <w:color w:val="FFFFFF"/>
                <w:sz w:val="19"/>
              </w:rPr>
              <w:t>Author</w:t>
            </w:r>
          </w:p>
        </w:tc>
        <w:tc>
          <w:tcPr>
            <w:tcW w:type="dxa" w:w="1460"/>
            <w:shd w:fill="1E2B42"/>
            <w:vAlign w:val="center"/>
            <w:tcMar>
              <w:top w:w="70" w:type="dxa"/>
              <w:bottom w:w="70" w:type="dxa"/>
              <w:start w:w="120" w:type="dxa"/>
              <w:end w:w="120" w:type="dxa"/>
            </w:tcMar>
          </w:tcPr>
          <w:p>
            <w:pPr>
              <w:spacing w:after="0"/>
              <w:jc w:val="left"/>
            </w:pPr>
            <w:r/>
            <w:r>
              <w:rPr>
                <w:rFonts w:ascii="Calibri" w:hAnsi="Calibri"/>
                <w:b/>
                <w:color w:val="FFFFFF"/>
                <w:sz w:val="19"/>
              </w:rPr>
              <w:t>Approval</w:t>
            </w:r>
          </w:p>
        </w:tc>
      </w:tr>
      <w:tr>
        <w:trPr>
          <w:cantSplit/>
        </w:trPr>
        <w:tc>
          <w:tcPr>
            <w:tcW w:type="dxa" w:w="1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0.1</w:t>
            </w:r>
          </w:p>
        </w:tc>
        <w:tc>
          <w:tcPr>
            <w:tcW w:type="dxa" w:w="18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Aug. 12, 2026</w:t>
            </w:r>
          </w:p>
        </w:tc>
        <w:tc>
          <w:tcPr>
            <w:tcW w:type="dxa" w:w="3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Initial draft</w:t>
            </w:r>
          </w:p>
        </w:tc>
        <w:tc>
          <w:tcPr>
            <w:tcW w:type="dxa" w:w="19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Operations</w:t>
            </w:r>
          </w:p>
        </w:tc>
        <w:tc>
          <w:tcPr>
            <w:tcW w:type="dxa" w:w="14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Draft</w:t>
            </w:r>
          </w:p>
        </w:tc>
      </w:tr>
      <w:tr>
        <w:trPr>
          <w:cantSplit/>
        </w:trPr>
        <w:tc>
          <w:tcPr>
            <w:tcW w:type="dxa" w:w="11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0.9</w:t>
            </w:r>
          </w:p>
        </w:tc>
        <w:tc>
          <w:tcPr>
            <w:tcW w:type="dxa" w:w="18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Aug. 20, 2026</w:t>
            </w:r>
          </w:p>
        </w:tc>
        <w:tc>
          <w:tcPr>
            <w:tcW w:type="dxa" w:w="31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Added access and exception controls</w:t>
            </w:r>
          </w:p>
        </w:tc>
        <w:tc>
          <w:tcPr>
            <w:tcW w:type="dxa" w:w="190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Operations</w:t>
            </w:r>
          </w:p>
        </w:tc>
        <w:tc>
          <w:tcPr>
            <w:tcW w:type="dxa" w:w="1460"/>
            <w:shd w:fill="ECF0F6"/>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Review</w:t>
            </w:r>
          </w:p>
        </w:tc>
      </w:tr>
      <w:tr>
        <w:trPr>
          <w:cantSplit/>
        </w:trPr>
        <w:tc>
          <w:tcPr>
            <w:tcW w:type="dxa" w:w="1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1.0</w:t>
            </w:r>
          </w:p>
        </w:tc>
        <w:tc>
          <w:tcPr>
            <w:tcW w:type="dxa" w:w="18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Aug. 25, 2026</w:t>
            </w:r>
          </w:p>
        </w:tc>
        <w:tc>
          <w:tcPr>
            <w:tcW w:type="dxa" w:w="31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 for use</w:t>
            </w:r>
          </w:p>
        </w:tc>
        <w:tc>
          <w:tcPr>
            <w:tcW w:type="dxa" w:w="190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Client Operations</w:t>
            </w:r>
          </w:p>
        </w:tc>
        <w:tc>
          <w:tcPr>
            <w:tcW w:type="dxa" w:w="1460"/>
            <w:vAlign w:val="center"/>
            <w:tcMar>
              <w:top w:w="70" w:type="dxa"/>
              <w:bottom w:w="70" w:type="dxa"/>
              <w:start w:w="120" w:type="dxa"/>
              <w:end w:w="120" w:type="dxa"/>
            </w:tcMar>
          </w:tcPr>
          <w:p>
            <w:pPr>
              <w:spacing w:before="0" w:after="0" w:line="259" w:lineRule="auto"/>
              <w:jc w:val="left"/>
            </w:pPr>
            <w:r/>
            <w:r>
              <w:rPr>
                <w:rFonts w:ascii="Calibri" w:hAnsi="Calibri"/>
                <w:color w:val="17211B"/>
                <w:sz w:val="19"/>
              </w:rPr>
              <w:t>Approved</w:t>
            </w:r>
          </w:p>
        </w:tc>
      </w:tr>
    </w:tbl>
    <w:p>
      <w:pPr>
        <w:spacing w:after="60"/>
      </w:pPr>
    </w:p>
    <w:p>
      <w:pPr>
        <w:pStyle w:val="Heading1"/>
      </w:pPr>
      <w:r>
        <w:t>Publication checklist</w:t>
      </w:r>
    </w:p>
    <w:p>
      <w:pPr>
        <w:pStyle w:val="ListParagraph"/>
        <w:numPr>
          <w:ilvl w:val="0"/>
          <w:numId w:val="14"/>
        </w:numPr>
      </w:pPr>
      <w:r>
        <w:t>Replace every sample name, date, system, owner, threshold, and retention rule.</w:t>
      </w:r>
    </w:p>
    <w:p>
      <w:pPr>
        <w:pStyle w:val="ListParagraph"/>
        <w:numPr>
          <w:ilvl w:val="0"/>
          <w:numId w:val="14"/>
        </w:numPr>
      </w:pPr>
      <w:r>
        <w:t>Validate the procedure with the people who perform and approve the work.</w:t>
      </w:r>
    </w:p>
    <w:p>
      <w:pPr>
        <w:pStyle w:val="ListParagraph"/>
        <w:numPr>
          <w:ilvl w:val="0"/>
          <w:numId w:val="14"/>
        </w:numPr>
      </w:pPr>
      <w:r>
        <w:t>Confirm related policies, forms, systems, and escalation routes are current.</w:t>
      </w:r>
    </w:p>
    <w:p>
      <w:pPr>
        <w:pStyle w:val="ListParagraph"/>
        <w:numPr>
          <w:ilvl w:val="0"/>
          <w:numId w:val="14"/>
        </w:numPr>
      </w:pPr>
      <w:r>
        <w:t>Record formal approval, effective date, document owner, and next review date.</w:t>
      </w:r>
    </w:p>
    <w:p>
      <w:pPr>
        <w:pStyle w:val="ListParagraph"/>
        <w:numPr>
          <w:ilvl w:val="0"/>
          <w:numId w:val="14"/>
        </w:numPr>
      </w:pPr>
      <w:r>
        <w:t>Publish only in the approved repository and retire obsolete versions.</w:t>
      </w:r>
    </w:p>
    <w:p>
      <w:pPr>
        <w:pStyle w:val="Quote"/>
        <w:spacing w:before="120" w:after="180"/>
        <w:shd w:fill="ECF0F6"/>
        <w:pBdr>
          <w:left w:val="single" w:sz="18" w:space="8" w:color="355070"/>
        </w:pBdr>
      </w:pPr>
      <w:r>
        <w:rPr>
          <w:rFonts w:ascii="Calibri" w:hAnsi="Calibri"/>
          <w:b/>
          <w:color w:val="1E2B42"/>
          <w:sz w:val="22"/>
        </w:rPr>
        <w:t xml:space="preserve">Required review: </w:t>
      </w:r>
      <w:r>
        <w:rPr>
          <w:rFonts w:ascii="Calibri" w:hAnsi="Calibri"/>
          <w:color w:val="1E2B42"/>
          <w:sz w:val="22"/>
        </w:rPr>
        <w:t>This starter is an operational writing aid, not a validated control. BrandQuill formats reviewed content but does not verify safety, legal, security, regulatory, contractual, or process accuracy.</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355070"/>
        <w:sz w:val="16"/>
      </w:rPr>
      <w:t>BRANDQUILL</w:t>
    </w:r>
    <w:r>
      <w:tab/>
    </w:r>
    <w:r>
      <w:rPr>
        <w:rFonts w:ascii="Calibri" w:hAnsi="Calibri"/>
        <w:b/>
        <w:color w:val="59645D"/>
        <w:sz w:val="16"/>
      </w:rPr>
      <w:t>STANDARD OPERATING PROCEDURE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540"/>
        </w:tabs>
        <w:ind w:left="540" w:hanging="270"/>
        <w:spacing w:after="80" w:line="300" w:lineRule="auto"/>
      </w:pPr>
    </w:lvl>
  </w:abstractNum>
  <w:num w:numId="11">
    <w:abstractNumId w:val="10"/>
  </w:num>
  <w:num w:numId="12">
    <w:abstractNumId w:val="9"/>
    <w:lvlOverride w:ilvl="0">
      <w:startOverride w:val="1"/>
    </w:lvlOverride>
  </w:num>
  <w:num w:numId="13">
    <w:abstractNumId w:val="10"/>
    <w:lvlOverride w:ilvl="0">
      <w:startOverride w:val="1"/>
    </w:lvlOverride>
  </w:num>
  <w:num w:numId="14">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i w:val="0"/>
      <w:color w:val="35507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i w:val="0"/>
      <w:color w:val="355070"/>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i w:val="0"/>
      <w:color w:val="1E2B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1E2B4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80" w:line="30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1E2B42"/>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Standard Operating Procedure Starter Template</dc:title>
  <dc:subject>A reusable SOP template with controlled document fields, roles, numbered procedures, quality checks, exceptions, records, approvals, and revision history.</dc:subject>
  <dc:creator/>
  <cp:keywords>BrandQuill, Word template, DOCX, editable document</cp:keywords>
  <dc:description>Free standard operating procedure starter template from brandquill.app</dc:description>
  <cp:lastModifiedBy/>
  <cp:revision>1</cp:revision>
  <dcterms:created xsi:type="dcterms:W3CDTF">2013-12-23T23:15:00Z</dcterms:created>
  <dcterms:modified xsi:type="dcterms:W3CDTF">2013-12-23T23:15:00Z</dcterms:modified>
  <cp:category/>
</cp:coreProperties>
</file>