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40"/>
      </w:pPr>
    </w:p>
    <w:p>
      <w:pPr>
        <w:keepNext/>
        <w:spacing w:before="0" w:after="240"/>
        <w:jc w:val="center"/>
      </w:pPr>
      <w:r>
        <w:rPr>
          <w:rFonts w:ascii="Calibri" w:hAnsi="Calibri"/>
          <w:b/>
          <w:color w:val="6F4A8E"/>
          <w:sz w:val="18"/>
        </w:rPr>
        <w:t>REQUEST FOR PROPOSAL RESPONSE</w:t>
      </w:r>
    </w:p>
    <w:p>
      <w:pPr>
        <w:pStyle w:val="Title"/>
        <w:jc w:val="center"/>
        <w:pBdr>
          <w:bottom w:val="single" w:sz="10" w:space="10" w:color="6F4A8E"/>
        </w:pBdr>
      </w:pPr>
      <w:r>
        <w:rPr>
          <w:rFonts w:ascii="Calibri" w:hAnsi="Calibri"/>
          <w:b/>
          <w:color w:val="33233E"/>
          <w:sz w:val="60"/>
        </w:rPr>
        <w:t>Patient access modernization</w:t>
      </w:r>
    </w:p>
    <w:p>
      <w:pPr>
        <w:pStyle w:val="Subtitle"/>
        <w:jc w:val="center"/>
      </w:pPr>
      <w:r>
        <w:rPr>
          <w:rFonts w:ascii="Calibri" w:hAnsi="Calibri"/>
          <w:color w:val="59645D"/>
          <w:sz w:val="28"/>
        </w:rPr>
        <w:t>Response to RFP MHS-2026-14</w:t>
      </w:r>
    </w:p>
    <w:p>
      <w:pPr>
        <w:spacing w:after="60"/>
        <w:jc w:val="center"/>
      </w:pPr>
      <w:r>
        <w:rPr>
          <w:rFonts w:ascii="Calibri" w:hAnsi="Calibri"/>
          <w:b/>
          <w:color w:val="33233E"/>
          <w:sz w:val="20"/>
        </w:rPr>
        <w:t xml:space="preserve">Prepared for: </w:t>
      </w:r>
      <w:r>
        <w:rPr>
          <w:rFonts w:ascii="Calibri" w:hAnsi="Calibri"/>
          <w:color w:val="59645D"/>
          <w:sz w:val="20"/>
        </w:rPr>
        <w:t>Meridian Health Systems</w:t>
      </w:r>
    </w:p>
    <w:p>
      <w:pPr>
        <w:spacing w:after="60"/>
        <w:jc w:val="center"/>
      </w:pPr>
      <w:r>
        <w:rPr>
          <w:rFonts w:ascii="Calibri" w:hAnsi="Calibri"/>
          <w:b/>
          <w:color w:val="33233E"/>
          <w:sz w:val="20"/>
        </w:rPr>
        <w:t xml:space="preserve">Prepared by: </w:t>
      </w:r>
      <w:r>
        <w:rPr>
          <w:rFonts w:ascii="Calibri" w:hAnsi="Calibri"/>
          <w:color w:val="59645D"/>
          <w:sz w:val="20"/>
        </w:rPr>
        <w:t>Northstar Advisory</w:t>
      </w:r>
    </w:p>
    <w:p>
      <w:pPr>
        <w:spacing w:after="60"/>
        <w:jc w:val="center"/>
      </w:pPr>
      <w:r>
        <w:rPr>
          <w:rFonts w:ascii="Calibri" w:hAnsi="Calibri"/>
          <w:b/>
          <w:color w:val="33233E"/>
          <w:sz w:val="20"/>
        </w:rPr>
        <w:t xml:space="preserve">Date: </w:t>
      </w:r>
      <w:r>
        <w:rPr>
          <w:rFonts w:ascii="Calibri" w:hAnsi="Calibri"/>
          <w:color w:val="59645D"/>
          <w:sz w:val="20"/>
        </w:rPr>
        <w:t>August 26, 2026</w:t>
      </w:r>
    </w:p>
    <w:p>
      <w:pPr>
        <w:spacing w:before="1200" w:after="0"/>
        <w:jc w:val="center"/>
      </w:pPr>
      <w:r>
        <w:rPr>
          <w:rFonts w:ascii="Calibri" w:hAnsi="Calibri"/>
          <w:i/>
          <w:color w:val="59645D"/>
          <w:sz w:val="18"/>
        </w:rPr>
        <w:t>Sample starter content. Confirm every requirement, claim, price, exception, and attachment against the issued RFP before submission.</w:t>
      </w:r>
    </w:p>
    <w:p>
      <w:r>
        <w:br w:type="page"/>
      </w:r>
    </w:p>
    <w:p>
      <w:pPr>
        <w:pStyle w:val="Heading1"/>
      </w:pPr>
      <w:r>
        <w:t>Executive summary</w:t>
      </w:r>
    </w:p>
    <w:p>
      <w:pPr/>
      <w:r>
        <w:t>Meridian Health Systems is seeking a practical modernization program that reduces scheduling friction, improves visibility across patient access teams, and produces measurable service improvements without disrupting current operations. Northstar Advisory proposes a phased approach that begins with validated requirements and workflow evidence, then moves through configuration, pilot, and controlled rollout.</w:t>
      </w:r>
    </w:p>
    <w:p>
      <w:pPr>
        <w:pStyle w:val="Quote"/>
        <w:spacing w:before="160" w:after="240"/>
        <w:shd w:fill="F2ECF7"/>
        <w:pBdr>
          <w:left w:val="single" w:sz="18" w:space="8" w:color="6F4A8E"/>
        </w:pBdr>
      </w:pPr>
      <w:r>
        <w:rPr>
          <w:rFonts w:ascii="Calibri" w:hAnsi="Calibri"/>
          <w:b/>
          <w:color w:val="33233E"/>
          <w:sz w:val="22"/>
        </w:rPr>
        <w:t xml:space="preserve">Response commitment: </w:t>
      </w:r>
      <w:r>
        <w:rPr>
          <w:rFonts w:ascii="Calibri" w:hAnsi="Calibri"/>
          <w:color w:val="33233E"/>
          <w:sz w:val="22"/>
        </w:rPr>
        <w:t>We will maintain a requirement-by-requirement compliance record, identify assumptions and exceptions explicitly, and connect each promised outcome to a named deliverable and acceptance basis.</w:t>
      </w:r>
    </w:p>
    <w:p>
      <w:pPr>
        <w:pStyle w:val="Heading1"/>
      </w:pPr>
      <w:r>
        <w:t>Response at a glance</w:t>
      </w:r>
    </w:p>
    <w:tbl>
      <w:tblPr>
        <w:tblStyle w:val="TableGrid"/>
        <w:tblW w:type="dxa" w:w="9360"/>
        <w:tblLayout w:type="fixed"/>
        <w:tblLook w:firstColumn="1" w:firstRow="1" w:lastColumn="0" w:lastRow="0" w:noHBand="0" w:noVBand="1" w:val="04A0"/>
        <w:tblInd w:w="120" w:type="dxa"/>
      </w:tblPr>
      <w:tblGrid>
        <w:gridCol w:w="2500"/>
        <w:gridCol w:w="3340"/>
        <w:gridCol w:w="2240"/>
        <w:gridCol w:w="1280"/>
      </w:tblGrid>
      <w:tr>
        <w:trPr>
          <w:tblHeader w:val="true"/>
        </w:trPr>
        <w:tc>
          <w:tcPr>
            <w:tcW w:type="dxa" w:w="2500"/>
            <w:shd w:fill="33233E"/>
            <w:vAlign w:val="center"/>
            <w:tcMar>
              <w:top w:w="80" w:type="dxa"/>
              <w:bottom w:w="80" w:type="dxa"/>
              <w:start w:w="120" w:type="dxa"/>
              <w:end w:w="120" w:type="dxa"/>
            </w:tcMar>
          </w:tcPr>
          <w:p>
            <w:pPr>
              <w:spacing w:after="0"/>
              <w:jc w:val="left"/>
            </w:pPr>
            <w:r/>
            <w:r>
              <w:rPr>
                <w:rFonts w:ascii="Calibri" w:hAnsi="Calibri"/>
                <w:b/>
                <w:color w:val="FFFFFF"/>
                <w:sz w:val="19"/>
              </w:rPr>
              <w:t>Buyer priority</w:t>
            </w:r>
          </w:p>
        </w:tc>
        <w:tc>
          <w:tcPr>
            <w:tcW w:type="dxa" w:w="3340"/>
            <w:shd w:fill="33233E"/>
            <w:vAlign w:val="center"/>
            <w:tcMar>
              <w:top w:w="80" w:type="dxa"/>
              <w:bottom w:w="80" w:type="dxa"/>
              <w:start w:w="120" w:type="dxa"/>
              <w:end w:w="120" w:type="dxa"/>
            </w:tcMar>
          </w:tcPr>
          <w:p>
            <w:pPr>
              <w:spacing w:after="0"/>
              <w:jc w:val="left"/>
            </w:pPr>
            <w:r/>
            <w:r>
              <w:rPr>
                <w:rFonts w:ascii="Calibri" w:hAnsi="Calibri"/>
                <w:b/>
                <w:color w:val="FFFFFF"/>
                <w:sz w:val="19"/>
              </w:rPr>
              <w:t>Proposed response</w:t>
            </w:r>
          </w:p>
        </w:tc>
        <w:tc>
          <w:tcPr>
            <w:tcW w:type="dxa" w:w="2240"/>
            <w:shd w:fill="33233E"/>
            <w:vAlign w:val="center"/>
            <w:tcMar>
              <w:top w:w="80" w:type="dxa"/>
              <w:bottom w:w="80" w:type="dxa"/>
              <w:start w:w="120" w:type="dxa"/>
              <w:end w:w="120" w:type="dxa"/>
            </w:tcMar>
          </w:tcPr>
          <w:p>
            <w:pPr>
              <w:spacing w:after="0"/>
              <w:jc w:val="left"/>
            </w:pPr>
            <w:r/>
            <w:r>
              <w:rPr>
                <w:rFonts w:ascii="Calibri" w:hAnsi="Calibri"/>
                <w:b/>
                <w:color w:val="FFFFFF"/>
                <w:sz w:val="19"/>
              </w:rPr>
              <w:t>Primary evidence</w:t>
            </w:r>
          </w:p>
        </w:tc>
        <w:tc>
          <w:tcPr>
            <w:tcW w:type="dxa" w:w="1280"/>
            <w:shd w:fill="33233E"/>
            <w:vAlign w:val="center"/>
            <w:tcMar>
              <w:top w:w="80" w:type="dxa"/>
              <w:bottom w:w="80" w:type="dxa"/>
              <w:start w:w="120" w:type="dxa"/>
              <w:end w:w="120" w:type="dxa"/>
            </w:tcMar>
          </w:tcPr>
          <w:p>
            <w:pPr>
              <w:spacing w:after="0"/>
              <w:jc w:val="center"/>
            </w:pPr>
            <w:r/>
            <w:r>
              <w:rPr>
                <w:rFonts w:ascii="Calibri" w:hAnsi="Calibri"/>
                <w:b/>
                <w:color w:val="FFFFFF"/>
                <w:sz w:val="19"/>
              </w:rPr>
              <w:t>Section</w:t>
            </w:r>
          </w:p>
        </w:tc>
      </w:tr>
      <w:tr>
        <w:trPr>
          <w:cantSplit/>
        </w:trPr>
        <w:tc>
          <w:tcPr>
            <w:tcW w:type="dxa" w:w="25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Reduce appointment friction</w:t>
            </w:r>
          </w:p>
        </w:tc>
        <w:tc>
          <w:tcPr>
            <w:tcW w:type="dxa" w:w="33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Map and simplify the highest-volume access journeys</w:t>
            </w:r>
          </w:p>
        </w:tc>
        <w:tc>
          <w:tcPr>
            <w:tcW w:type="dxa" w:w="22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Workflow baseline and pilot results</w:t>
            </w:r>
          </w:p>
        </w:tc>
        <w:tc>
          <w:tcPr>
            <w:tcW w:type="dxa" w:w="128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2, 4</w:t>
            </w:r>
          </w:p>
        </w:tc>
      </w:tr>
      <w:tr>
        <w:trPr>
          <w:cantSplit/>
        </w:trPr>
        <w:tc>
          <w:tcPr>
            <w:tcW w:type="dxa" w:w="25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Protect operational continuity</w:t>
            </w:r>
          </w:p>
        </w:tc>
        <w:tc>
          <w:tcPr>
            <w:tcW w:type="dxa" w:w="33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Use a controlled pilot with rollback and escalation criteria</w:t>
            </w:r>
          </w:p>
        </w:tc>
        <w:tc>
          <w:tcPr>
            <w:tcW w:type="dxa" w:w="22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Implementation and risk plan</w:t>
            </w:r>
          </w:p>
        </w:tc>
        <w:tc>
          <w:tcPr>
            <w:tcW w:type="dxa" w:w="128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3, 5</w:t>
            </w:r>
          </w:p>
        </w:tc>
      </w:tr>
      <w:tr>
        <w:trPr>
          <w:cantSplit/>
        </w:trPr>
        <w:tc>
          <w:tcPr>
            <w:tcW w:type="dxa" w:w="25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Demonstrate measurable value</w:t>
            </w:r>
          </w:p>
        </w:tc>
        <w:tc>
          <w:tcPr>
            <w:tcW w:type="dxa" w:w="33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Define baseline, target, owner, and review cadence for each outcome</w:t>
            </w:r>
          </w:p>
        </w:tc>
        <w:tc>
          <w:tcPr>
            <w:tcW w:type="dxa" w:w="22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Measurement plan</w:t>
            </w:r>
          </w:p>
        </w:tc>
        <w:tc>
          <w:tcPr>
            <w:tcW w:type="dxa" w:w="128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4</w:t>
            </w:r>
          </w:p>
        </w:tc>
      </w:tr>
      <w:tr>
        <w:trPr>
          <w:cantSplit/>
        </w:trPr>
        <w:tc>
          <w:tcPr>
            <w:tcW w:type="dxa" w:w="25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Meet security requirements</w:t>
            </w:r>
          </w:p>
        </w:tc>
        <w:tc>
          <w:tcPr>
            <w:tcW w:type="dxa" w:w="33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Complete the required security review before production access</w:t>
            </w:r>
          </w:p>
        </w:tc>
        <w:tc>
          <w:tcPr>
            <w:tcW w:type="dxa" w:w="22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Security response appendix</w:t>
            </w:r>
          </w:p>
        </w:tc>
        <w:tc>
          <w:tcPr>
            <w:tcW w:type="dxa" w:w="128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6</w:t>
            </w:r>
          </w:p>
        </w:tc>
      </w:tr>
    </w:tbl>
    <w:p>
      <w:pPr>
        <w:spacing w:after="60"/>
      </w:pPr>
    </w:p>
    <w:p>
      <w:pPr>
        <w:pStyle w:val="Heading1"/>
      </w:pPr>
      <w:r>
        <w:t>1. Company profile</w:t>
      </w:r>
    </w:p>
    <w:p>
      <w:pPr/>
      <w:r>
        <w:t>Northstar Advisory helps complex service organizations redesign customer and employee workflows, implement enabling technology, and establish measurable operating routines. The proposed team combines program leadership, workflow design, implementation, data, and change-management experience.</w:t>
      </w:r>
    </w:p>
    <w:p>
      <w:pPr>
        <w:pStyle w:val="ListParagraph"/>
        <w:numPr>
          <w:ilvl w:val="0"/>
          <w:numId w:val="12"/>
        </w:numPr>
      </w:pPr>
      <w:r>
        <w:t>Legal name, registration details, insurance, and required certifications should be inserted from approved company records.</w:t>
      </w:r>
    </w:p>
    <w:p>
      <w:pPr>
        <w:pStyle w:val="ListParagraph"/>
        <w:numPr>
          <w:ilvl w:val="0"/>
          <w:numId w:val="12"/>
        </w:numPr>
      </w:pPr>
      <w:r>
        <w:t>Relevant references and case studies should match the buyer's industry, scale, and requested scope.</w:t>
      </w:r>
    </w:p>
    <w:p>
      <w:pPr>
        <w:pStyle w:val="ListParagraph"/>
        <w:numPr>
          <w:ilvl w:val="0"/>
          <w:numId w:val="12"/>
        </w:numPr>
      </w:pPr>
      <w:r>
        <w:t>Every capability claim should be supported by an identified source or attachment.</w:t>
      </w:r>
    </w:p>
    <w:p>
      <w:r>
        <w:br w:type="page"/>
      </w:r>
    </w:p>
    <w:p>
      <w:pPr>
        <w:pStyle w:val="Heading1"/>
      </w:pPr>
      <w:r>
        <w:t>2. Understanding of requirements</w:t>
      </w:r>
    </w:p>
    <w:p>
      <w:pPr/>
      <w:r>
        <w:t>The response team has organized the issued requirements into four workstreams: patient access workflow, platform configuration, data and integration, and adoption. The final response should preserve the buyer's numbering and terminology so evaluators can score each answer without translating between documents.</w:t>
      </w:r>
    </w:p>
    <w:p>
      <w:pPr>
        <w:pStyle w:val="Heading1"/>
      </w:pPr>
      <w:r>
        <w:t>3. Proposed approach</w:t>
      </w:r>
    </w:p>
    <w:p>
      <w:pPr>
        <w:pStyle w:val="ListParagraph"/>
        <w:numPr>
          <w:ilvl w:val="0"/>
          <w:numId w:val="13"/>
        </w:numPr>
      </w:pPr>
      <w:r>
        <w:t>Validate requirements, stakeholders, baseline performance, and acceptance criteria.</w:t>
      </w:r>
    </w:p>
    <w:p>
      <w:pPr>
        <w:pStyle w:val="ListParagraph"/>
        <w:numPr>
          <w:ilvl w:val="0"/>
          <w:numId w:val="13"/>
        </w:numPr>
      </w:pPr>
      <w:r>
        <w:t>Design the target workflow and confirm security, data, and integration dependencies.</w:t>
      </w:r>
    </w:p>
    <w:p>
      <w:pPr>
        <w:pStyle w:val="ListParagraph"/>
        <w:numPr>
          <w:ilvl w:val="0"/>
          <w:numId w:val="13"/>
        </w:numPr>
      </w:pPr>
      <w:r>
        <w:t>Configure and test the agreed solution using traceable scenarios.</w:t>
      </w:r>
    </w:p>
    <w:p>
      <w:pPr>
        <w:pStyle w:val="ListParagraph"/>
        <w:numPr>
          <w:ilvl w:val="0"/>
          <w:numId w:val="13"/>
        </w:numPr>
      </w:pPr>
      <w:r>
        <w:t>Pilot with a representative operating group and resolve defined exit criteria.</w:t>
      </w:r>
    </w:p>
    <w:p>
      <w:pPr>
        <w:pStyle w:val="ListParagraph"/>
        <w:numPr>
          <w:ilvl w:val="0"/>
          <w:numId w:val="13"/>
        </w:numPr>
      </w:pPr>
      <w:r>
        <w:t>Roll out in controlled waves with adoption, service, and risk monitoring.</w:t>
      </w:r>
    </w:p>
    <w:p>
      <w:pPr>
        <w:pStyle w:val="Heading1"/>
      </w:pPr>
      <w:r>
        <w:t>4. Implementation plan</w:t>
      </w:r>
    </w:p>
    <w:tbl>
      <w:tblPr>
        <w:tblStyle w:val="TableGrid"/>
        <w:tblW w:type="dxa" w:w="9360"/>
        <w:tblLayout w:type="fixed"/>
        <w:tblLook w:firstColumn="1" w:firstRow="1" w:lastColumn="0" w:lastRow="0" w:noHBand="0" w:noVBand="1" w:val="04A0"/>
        <w:tblInd w:w="120" w:type="dxa"/>
      </w:tblPr>
      <w:tblGrid>
        <w:gridCol w:w="1500"/>
        <w:gridCol w:w="3240"/>
        <w:gridCol w:w="1800"/>
        <w:gridCol w:w="2820"/>
      </w:tblGrid>
      <w:tr>
        <w:trPr>
          <w:tblHeader w:val="true"/>
        </w:trPr>
        <w:tc>
          <w:tcPr>
            <w:tcW w:type="dxa" w:w="1500"/>
            <w:shd w:fill="33233E"/>
            <w:vAlign w:val="center"/>
            <w:tcMar>
              <w:top w:w="80" w:type="dxa"/>
              <w:bottom w:w="80" w:type="dxa"/>
              <w:start w:w="120" w:type="dxa"/>
              <w:end w:w="120" w:type="dxa"/>
            </w:tcMar>
          </w:tcPr>
          <w:p>
            <w:pPr>
              <w:spacing w:after="0"/>
              <w:jc w:val="left"/>
            </w:pPr>
            <w:r/>
            <w:r>
              <w:rPr>
                <w:rFonts w:ascii="Calibri" w:hAnsi="Calibri"/>
                <w:b/>
                <w:color w:val="FFFFFF"/>
                <w:sz w:val="19"/>
              </w:rPr>
              <w:t>Phase</w:t>
            </w:r>
          </w:p>
        </w:tc>
        <w:tc>
          <w:tcPr>
            <w:tcW w:type="dxa" w:w="3240"/>
            <w:shd w:fill="33233E"/>
            <w:vAlign w:val="center"/>
            <w:tcMar>
              <w:top w:w="80" w:type="dxa"/>
              <w:bottom w:w="80" w:type="dxa"/>
              <w:start w:w="120" w:type="dxa"/>
              <w:end w:w="120" w:type="dxa"/>
            </w:tcMar>
          </w:tcPr>
          <w:p>
            <w:pPr>
              <w:spacing w:after="0"/>
              <w:jc w:val="left"/>
            </w:pPr>
            <w:r/>
            <w:r>
              <w:rPr>
                <w:rFonts w:ascii="Calibri" w:hAnsi="Calibri"/>
                <w:b/>
                <w:color w:val="FFFFFF"/>
                <w:sz w:val="19"/>
              </w:rPr>
              <w:t>Key outputs</w:t>
            </w:r>
          </w:p>
        </w:tc>
        <w:tc>
          <w:tcPr>
            <w:tcW w:type="dxa" w:w="1800"/>
            <w:shd w:fill="33233E"/>
            <w:vAlign w:val="center"/>
            <w:tcMar>
              <w:top w:w="80" w:type="dxa"/>
              <w:bottom w:w="80" w:type="dxa"/>
              <w:start w:w="120" w:type="dxa"/>
              <w:end w:w="120" w:type="dxa"/>
            </w:tcMar>
          </w:tcPr>
          <w:p>
            <w:pPr>
              <w:spacing w:after="0"/>
              <w:jc w:val="center"/>
            </w:pPr>
            <w:r/>
            <w:r>
              <w:rPr>
                <w:rFonts w:ascii="Calibri" w:hAnsi="Calibri"/>
                <w:b/>
                <w:color w:val="FFFFFF"/>
                <w:sz w:val="19"/>
              </w:rPr>
              <w:t>Indicative timing</w:t>
            </w:r>
          </w:p>
        </w:tc>
        <w:tc>
          <w:tcPr>
            <w:tcW w:type="dxa" w:w="2820"/>
            <w:shd w:fill="33233E"/>
            <w:vAlign w:val="center"/>
            <w:tcMar>
              <w:top w:w="80" w:type="dxa"/>
              <w:bottom w:w="80" w:type="dxa"/>
              <w:start w:w="120" w:type="dxa"/>
              <w:end w:w="120" w:type="dxa"/>
            </w:tcMar>
          </w:tcPr>
          <w:p>
            <w:pPr>
              <w:spacing w:after="0"/>
              <w:jc w:val="left"/>
            </w:pPr>
            <w:r/>
            <w:r>
              <w:rPr>
                <w:rFonts w:ascii="Calibri" w:hAnsi="Calibri"/>
                <w:b/>
                <w:color w:val="FFFFFF"/>
                <w:sz w:val="19"/>
              </w:rPr>
              <w:t>Acceptance basis</w:t>
            </w:r>
          </w:p>
        </w:tc>
      </w:tr>
      <w:tr>
        <w:trPr>
          <w:cantSplit/>
        </w:trPr>
        <w:tc>
          <w:tcPr>
            <w:tcW w:type="dxa" w:w="15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Discover</w:t>
            </w:r>
          </w:p>
        </w:tc>
        <w:tc>
          <w:tcPr>
            <w:tcW w:type="dxa" w:w="32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Validated requirements and baseline</w:t>
            </w:r>
          </w:p>
        </w:tc>
        <w:tc>
          <w:tcPr>
            <w:tcW w:type="dxa" w:w="18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1 to 2</w:t>
            </w:r>
          </w:p>
        </w:tc>
        <w:tc>
          <w:tcPr>
            <w:tcW w:type="dxa" w:w="282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Sponsor approval</w:t>
            </w:r>
          </w:p>
        </w:tc>
      </w:tr>
      <w:tr>
        <w:trPr>
          <w:cantSplit/>
        </w:trPr>
        <w:tc>
          <w:tcPr>
            <w:tcW w:type="dxa" w:w="15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Design</w:t>
            </w:r>
          </w:p>
        </w:tc>
        <w:tc>
          <w:tcPr>
            <w:tcW w:type="dxa" w:w="32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Target workflow and solution design</w:t>
            </w:r>
          </w:p>
        </w:tc>
        <w:tc>
          <w:tcPr>
            <w:tcW w:type="dxa" w:w="180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3 to 5</w:t>
            </w:r>
          </w:p>
        </w:tc>
        <w:tc>
          <w:tcPr>
            <w:tcW w:type="dxa" w:w="282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Design authority approval</w:t>
            </w:r>
          </w:p>
        </w:tc>
      </w:tr>
      <w:tr>
        <w:trPr>
          <w:cantSplit/>
        </w:trPr>
        <w:tc>
          <w:tcPr>
            <w:tcW w:type="dxa" w:w="15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Configure and test</w:t>
            </w:r>
          </w:p>
        </w:tc>
        <w:tc>
          <w:tcPr>
            <w:tcW w:type="dxa" w:w="32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Configured solution and passed test evidence</w:t>
            </w:r>
          </w:p>
        </w:tc>
        <w:tc>
          <w:tcPr>
            <w:tcW w:type="dxa" w:w="18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6 to 10</w:t>
            </w:r>
          </w:p>
        </w:tc>
        <w:tc>
          <w:tcPr>
            <w:tcW w:type="dxa" w:w="282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Critical test cases pass</w:t>
            </w:r>
          </w:p>
        </w:tc>
      </w:tr>
      <w:tr>
        <w:trPr>
          <w:cantSplit/>
        </w:trPr>
        <w:tc>
          <w:tcPr>
            <w:tcW w:type="dxa" w:w="15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Pilot</w:t>
            </w:r>
          </w:p>
        </w:tc>
        <w:tc>
          <w:tcPr>
            <w:tcW w:type="dxa" w:w="32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Pilot results and rollout recommendation</w:t>
            </w:r>
          </w:p>
        </w:tc>
        <w:tc>
          <w:tcPr>
            <w:tcW w:type="dxa" w:w="180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11 to 13</w:t>
            </w:r>
          </w:p>
        </w:tc>
        <w:tc>
          <w:tcPr>
            <w:tcW w:type="dxa" w:w="282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Exit criteria achieved</w:t>
            </w:r>
          </w:p>
        </w:tc>
      </w:tr>
      <w:tr>
        <w:trPr>
          <w:cantSplit/>
        </w:trPr>
        <w:tc>
          <w:tcPr>
            <w:tcW w:type="dxa" w:w="15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Rollout</w:t>
            </w:r>
          </w:p>
        </w:tc>
        <w:tc>
          <w:tcPr>
            <w:tcW w:type="dxa" w:w="32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Wave deployment and operating handoff</w:t>
            </w:r>
          </w:p>
        </w:tc>
        <w:tc>
          <w:tcPr>
            <w:tcW w:type="dxa" w:w="18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Weeks 14 to 18</w:t>
            </w:r>
          </w:p>
        </w:tc>
        <w:tc>
          <w:tcPr>
            <w:tcW w:type="dxa" w:w="282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Operational acceptance</w:t>
            </w:r>
          </w:p>
        </w:tc>
      </w:tr>
    </w:tbl>
    <w:p>
      <w:pPr>
        <w:spacing w:after="60"/>
      </w:pPr>
    </w:p>
    <w:p>
      <w:pPr>
        <w:pStyle w:val="Heading1"/>
      </w:pPr>
      <w:r>
        <w:t>5. Team and relevant experience</w:t>
      </w:r>
    </w:p>
    <w:tbl>
      <w:tblPr>
        <w:tblStyle w:val="TableGrid"/>
        <w:tblW w:type="dxa" w:w="9360"/>
        <w:tblLayout w:type="fixed"/>
        <w:tblLook w:firstColumn="1" w:firstRow="1" w:lastColumn="0" w:lastRow="0" w:noHBand="0" w:noVBand="1" w:val="04A0"/>
        <w:tblInd w:w="120" w:type="dxa"/>
      </w:tblPr>
      <w:tblGrid>
        <w:gridCol w:w="1900"/>
        <w:gridCol w:w="3220"/>
        <w:gridCol w:w="1700"/>
        <w:gridCol w:w="2540"/>
      </w:tblGrid>
      <w:tr>
        <w:trPr>
          <w:tblHeader w:val="true"/>
        </w:trPr>
        <w:tc>
          <w:tcPr>
            <w:tcW w:type="dxa" w:w="1900"/>
            <w:shd w:fill="33233E"/>
            <w:vAlign w:val="center"/>
            <w:tcMar>
              <w:top w:w="80" w:type="dxa"/>
              <w:bottom w:w="80" w:type="dxa"/>
              <w:start w:w="120" w:type="dxa"/>
              <w:end w:w="120" w:type="dxa"/>
            </w:tcMar>
          </w:tcPr>
          <w:p>
            <w:pPr>
              <w:spacing w:after="0"/>
              <w:jc w:val="left"/>
            </w:pPr>
            <w:r/>
            <w:r>
              <w:rPr>
                <w:rFonts w:ascii="Calibri" w:hAnsi="Calibri"/>
                <w:b/>
                <w:color w:val="FFFFFF"/>
                <w:sz w:val="19"/>
              </w:rPr>
              <w:t>Role</w:t>
            </w:r>
          </w:p>
        </w:tc>
        <w:tc>
          <w:tcPr>
            <w:tcW w:type="dxa" w:w="3220"/>
            <w:shd w:fill="33233E"/>
            <w:vAlign w:val="center"/>
            <w:tcMar>
              <w:top w:w="80" w:type="dxa"/>
              <w:bottom w:w="80" w:type="dxa"/>
              <w:start w:w="120" w:type="dxa"/>
              <w:end w:w="120" w:type="dxa"/>
            </w:tcMar>
          </w:tcPr>
          <w:p>
            <w:pPr>
              <w:spacing w:after="0"/>
              <w:jc w:val="left"/>
            </w:pPr>
            <w:r/>
            <w:r>
              <w:rPr>
                <w:rFonts w:ascii="Calibri" w:hAnsi="Calibri"/>
                <w:b/>
                <w:color w:val="FFFFFF"/>
                <w:sz w:val="19"/>
              </w:rPr>
              <w:t>Responsibility</w:t>
            </w:r>
          </w:p>
        </w:tc>
        <w:tc>
          <w:tcPr>
            <w:tcW w:type="dxa" w:w="1700"/>
            <w:shd w:fill="33233E"/>
            <w:vAlign w:val="center"/>
            <w:tcMar>
              <w:top w:w="80" w:type="dxa"/>
              <w:bottom w:w="80" w:type="dxa"/>
              <w:start w:w="120" w:type="dxa"/>
              <w:end w:w="120" w:type="dxa"/>
            </w:tcMar>
          </w:tcPr>
          <w:p>
            <w:pPr>
              <w:spacing w:after="0"/>
              <w:jc w:val="left"/>
            </w:pPr>
            <w:r/>
            <w:r>
              <w:rPr>
                <w:rFonts w:ascii="Calibri" w:hAnsi="Calibri"/>
                <w:b/>
                <w:color w:val="FFFFFF"/>
                <w:sz w:val="19"/>
              </w:rPr>
              <w:t>Named lead</w:t>
            </w:r>
          </w:p>
        </w:tc>
        <w:tc>
          <w:tcPr>
            <w:tcW w:type="dxa" w:w="2540"/>
            <w:shd w:fill="33233E"/>
            <w:vAlign w:val="center"/>
            <w:tcMar>
              <w:top w:w="80" w:type="dxa"/>
              <w:bottom w:w="80" w:type="dxa"/>
              <w:start w:w="120" w:type="dxa"/>
              <w:end w:w="120" w:type="dxa"/>
            </w:tcMar>
          </w:tcPr>
          <w:p>
            <w:pPr>
              <w:spacing w:after="0"/>
              <w:jc w:val="left"/>
            </w:pPr>
            <w:r/>
            <w:r>
              <w:rPr>
                <w:rFonts w:ascii="Calibri" w:hAnsi="Calibri"/>
                <w:b/>
                <w:color w:val="FFFFFF"/>
                <w:sz w:val="19"/>
              </w:rPr>
              <w:t>Relevant evidence</w:t>
            </w:r>
          </w:p>
        </w:tc>
      </w:tr>
      <w:tr>
        <w:trPr>
          <w:cantSplit/>
        </w:trPr>
        <w:tc>
          <w:tcPr>
            <w:tcW w:type="dxa" w:w="19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Executive sponsor</w:t>
            </w:r>
          </w:p>
        </w:tc>
        <w:tc>
          <w:tcPr>
            <w:tcW w:type="dxa" w:w="322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Executive accountability and escalation</w:t>
            </w:r>
          </w:p>
        </w:tc>
        <w:tc>
          <w:tcPr>
            <w:tcW w:type="dxa" w:w="1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[Name]</w:t>
            </w:r>
          </w:p>
        </w:tc>
        <w:tc>
          <w:tcPr>
            <w:tcW w:type="dxa" w:w="25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[Comparable engagement]</w:t>
            </w:r>
          </w:p>
        </w:tc>
      </w:tr>
      <w:tr>
        <w:trPr>
          <w:cantSplit/>
        </w:trPr>
        <w:tc>
          <w:tcPr>
            <w:tcW w:type="dxa" w:w="19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Program lead</w:t>
            </w:r>
          </w:p>
        </w:tc>
        <w:tc>
          <w:tcPr>
            <w:tcW w:type="dxa" w:w="322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Delivery, governance, and buyer coordination</w:t>
            </w:r>
          </w:p>
        </w:tc>
        <w:tc>
          <w:tcPr>
            <w:tcW w:type="dxa" w:w="17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[Name]</w:t>
            </w:r>
          </w:p>
        </w:tc>
        <w:tc>
          <w:tcPr>
            <w:tcW w:type="dxa" w:w="25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[Comparable engagement]</w:t>
            </w:r>
          </w:p>
        </w:tc>
      </w:tr>
      <w:tr>
        <w:trPr>
          <w:cantSplit/>
        </w:trPr>
        <w:tc>
          <w:tcPr>
            <w:tcW w:type="dxa" w:w="19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Solution lead</w:t>
            </w:r>
          </w:p>
        </w:tc>
        <w:tc>
          <w:tcPr>
            <w:tcW w:type="dxa" w:w="322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Workflow, platform, and integration design</w:t>
            </w:r>
          </w:p>
        </w:tc>
        <w:tc>
          <w:tcPr>
            <w:tcW w:type="dxa" w:w="1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[Name]</w:t>
            </w:r>
          </w:p>
        </w:tc>
        <w:tc>
          <w:tcPr>
            <w:tcW w:type="dxa" w:w="254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[Comparable engagement]</w:t>
            </w:r>
          </w:p>
        </w:tc>
      </w:tr>
      <w:tr>
        <w:trPr>
          <w:cantSplit/>
        </w:trPr>
        <w:tc>
          <w:tcPr>
            <w:tcW w:type="dxa" w:w="19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Change lead</w:t>
            </w:r>
          </w:p>
        </w:tc>
        <w:tc>
          <w:tcPr>
            <w:tcW w:type="dxa" w:w="322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Readiness, training, and adoption</w:t>
            </w:r>
          </w:p>
        </w:tc>
        <w:tc>
          <w:tcPr>
            <w:tcW w:type="dxa" w:w="17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[Name]</w:t>
            </w:r>
          </w:p>
        </w:tc>
        <w:tc>
          <w:tcPr>
            <w:tcW w:type="dxa" w:w="254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[Comparable engagement]</w:t>
            </w:r>
          </w:p>
        </w:tc>
      </w:tr>
    </w:tbl>
    <w:p>
      <w:pPr>
        <w:spacing w:after="60"/>
      </w:pPr>
    </w:p>
    <w:p>
      <w:pPr>
        <w:pStyle w:val="Heading1"/>
      </w:pPr>
      <w:r>
        <w:t>6. Compliance matrix</w:t>
      </w:r>
    </w:p>
    <w:tbl>
      <w:tblPr>
        <w:tblStyle w:val="TableGrid"/>
        <w:tblW w:type="dxa" w:w="9360"/>
        <w:tblLayout w:type="fixed"/>
        <w:tblLook w:firstColumn="1" w:firstRow="1" w:lastColumn="0" w:lastRow="0" w:noHBand="0" w:noVBand="1" w:val="04A0"/>
        <w:tblInd w:w="120" w:type="dxa"/>
      </w:tblPr>
      <w:tblGrid>
        <w:gridCol w:w="900"/>
        <w:gridCol w:w="4010"/>
        <w:gridCol w:w="1450"/>
        <w:gridCol w:w="3000"/>
      </w:tblGrid>
      <w:tr>
        <w:trPr>
          <w:tblHeader w:val="true"/>
        </w:trPr>
        <w:tc>
          <w:tcPr>
            <w:tcW w:type="dxa" w:w="900"/>
            <w:shd w:fill="33233E"/>
            <w:vAlign w:val="center"/>
            <w:tcMar>
              <w:top w:w="80" w:type="dxa"/>
              <w:bottom w:w="80" w:type="dxa"/>
              <w:start w:w="120" w:type="dxa"/>
              <w:end w:w="120" w:type="dxa"/>
            </w:tcMar>
          </w:tcPr>
          <w:p>
            <w:pPr>
              <w:spacing w:after="0"/>
              <w:jc w:val="center"/>
            </w:pPr>
            <w:r/>
            <w:r>
              <w:rPr>
                <w:rFonts w:ascii="Calibri" w:hAnsi="Calibri"/>
                <w:b/>
                <w:color w:val="FFFFFF"/>
                <w:sz w:val="19"/>
              </w:rPr>
              <w:t>ID</w:t>
            </w:r>
          </w:p>
        </w:tc>
        <w:tc>
          <w:tcPr>
            <w:tcW w:type="dxa" w:w="4010"/>
            <w:shd w:fill="33233E"/>
            <w:vAlign w:val="center"/>
            <w:tcMar>
              <w:top w:w="80" w:type="dxa"/>
              <w:bottom w:w="80" w:type="dxa"/>
              <w:start w:w="120" w:type="dxa"/>
              <w:end w:w="120" w:type="dxa"/>
            </w:tcMar>
          </w:tcPr>
          <w:p>
            <w:pPr>
              <w:spacing w:after="0"/>
              <w:jc w:val="left"/>
            </w:pPr>
            <w:r/>
            <w:r>
              <w:rPr>
                <w:rFonts w:ascii="Calibri" w:hAnsi="Calibri"/>
                <w:b/>
                <w:color w:val="FFFFFF"/>
                <w:sz w:val="19"/>
              </w:rPr>
              <w:t>Requirement</w:t>
            </w:r>
          </w:p>
        </w:tc>
        <w:tc>
          <w:tcPr>
            <w:tcW w:type="dxa" w:w="1450"/>
            <w:shd w:fill="33233E"/>
            <w:vAlign w:val="center"/>
            <w:tcMar>
              <w:top w:w="80" w:type="dxa"/>
              <w:bottom w:w="80" w:type="dxa"/>
              <w:start w:w="120" w:type="dxa"/>
              <w:end w:w="120" w:type="dxa"/>
            </w:tcMar>
          </w:tcPr>
          <w:p>
            <w:pPr>
              <w:spacing w:after="0"/>
              <w:jc w:val="center"/>
            </w:pPr>
            <w:r/>
            <w:r>
              <w:rPr>
                <w:rFonts w:ascii="Calibri" w:hAnsi="Calibri"/>
                <w:b/>
                <w:color w:val="FFFFFF"/>
                <w:sz w:val="19"/>
              </w:rPr>
              <w:t>Status</w:t>
            </w:r>
          </w:p>
        </w:tc>
        <w:tc>
          <w:tcPr>
            <w:tcW w:type="dxa" w:w="3000"/>
            <w:shd w:fill="33233E"/>
            <w:vAlign w:val="center"/>
            <w:tcMar>
              <w:top w:w="80" w:type="dxa"/>
              <w:bottom w:w="80" w:type="dxa"/>
              <w:start w:w="120" w:type="dxa"/>
              <w:end w:w="120" w:type="dxa"/>
            </w:tcMar>
          </w:tcPr>
          <w:p>
            <w:pPr>
              <w:spacing w:after="0"/>
              <w:jc w:val="left"/>
            </w:pPr>
            <w:r/>
            <w:r>
              <w:rPr>
                <w:rFonts w:ascii="Calibri" w:hAnsi="Calibri"/>
                <w:b/>
                <w:color w:val="FFFFFF"/>
                <w:sz w:val="19"/>
              </w:rPr>
              <w:t>Response or evidence location</w:t>
            </w:r>
          </w:p>
        </w:tc>
      </w:tr>
      <w:tr>
        <w:trPr>
          <w:cantSplit/>
        </w:trPr>
        <w:tc>
          <w:tcPr>
            <w:tcW w:type="dxa" w:w="9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1.1</w:t>
            </w:r>
          </w:p>
        </w:tc>
        <w:tc>
          <w:tcPr>
            <w:tcW w:type="dxa" w:w="401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Provide the proposed implementation methodology</w:t>
            </w:r>
          </w:p>
        </w:tc>
        <w:tc>
          <w:tcPr>
            <w:tcW w:type="dxa" w:w="145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Comply</w:t>
            </w:r>
          </w:p>
        </w:tc>
        <w:tc>
          <w:tcPr>
            <w:tcW w:type="dxa" w:w="30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Section 3 and Section 4</w:t>
            </w:r>
          </w:p>
        </w:tc>
      </w:tr>
      <w:tr>
        <w:trPr>
          <w:cantSplit/>
        </w:trPr>
        <w:tc>
          <w:tcPr>
            <w:tcW w:type="dxa" w:w="90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2.3</w:t>
            </w:r>
          </w:p>
        </w:tc>
        <w:tc>
          <w:tcPr>
            <w:tcW w:type="dxa" w:w="401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Describe security and privacy controls</w:t>
            </w:r>
          </w:p>
        </w:tc>
        <w:tc>
          <w:tcPr>
            <w:tcW w:type="dxa" w:w="145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Comply</w:t>
            </w:r>
          </w:p>
        </w:tc>
        <w:tc>
          <w:tcPr>
            <w:tcW w:type="dxa" w:w="30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Security response appendix</w:t>
            </w:r>
          </w:p>
        </w:tc>
      </w:tr>
      <w:tr>
        <w:trPr>
          <w:cantSplit/>
        </w:trPr>
        <w:tc>
          <w:tcPr>
            <w:tcW w:type="dxa" w:w="9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3.2</w:t>
            </w:r>
          </w:p>
        </w:tc>
        <w:tc>
          <w:tcPr>
            <w:tcW w:type="dxa" w:w="401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Provide three comparable references</w:t>
            </w:r>
          </w:p>
        </w:tc>
        <w:tc>
          <w:tcPr>
            <w:tcW w:type="dxa" w:w="145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Comply</w:t>
            </w:r>
          </w:p>
        </w:tc>
        <w:tc>
          <w:tcPr>
            <w:tcW w:type="dxa" w:w="30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Reference forms A through C</w:t>
            </w:r>
          </w:p>
        </w:tc>
      </w:tr>
      <w:tr>
        <w:trPr>
          <w:cantSplit/>
        </w:trPr>
        <w:tc>
          <w:tcPr>
            <w:tcW w:type="dxa" w:w="90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4.1</w:t>
            </w:r>
          </w:p>
        </w:tc>
        <w:tc>
          <w:tcPr>
            <w:tcW w:type="dxa" w:w="401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Accept the buyer's standard payment schedule</w:t>
            </w:r>
          </w:p>
        </w:tc>
        <w:tc>
          <w:tcPr>
            <w:tcW w:type="dxa" w:w="145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Exception</w:t>
            </w:r>
          </w:p>
        </w:tc>
        <w:tc>
          <w:tcPr>
            <w:tcW w:type="dxa" w:w="30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Commercial exceptions, item CE-01</w:t>
            </w:r>
          </w:p>
        </w:tc>
      </w:tr>
    </w:tbl>
    <w:p>
      <w:pPr>
        <w:spacing w:after="60"/>
      </w:pPr>
    </w:p>
    <w:p>
      <w:pPr>
        <w:pStyle w:val="Heading1"/>
      </w:pPr>
      <w:r>
        <w:t>7. Pricing summary</w:t>
      </w:r>
    </w:p>
    <w:tbl>
      <w:tblPr>
        <w:tblStyle w:val="TableGrid"/>
        <w:tblW w:type="dxa" w:w="9360"/>
        <w:tblLayout w:type="fixed"/>
        <w:tblLook w:firstColumn="1" w:firstRow="1" w:lastColumn="0" w:lastRow="0" w:noHBand="0" w:noVBand="1" w:val="04A0"/>
        <w:tblInd w:w="120" w:type="dxa"/>
      </w:tblPr>
      <w:tblGrid>
        <w:gridCol w:w="2700"/>
        <w:gridCol w:w="1700"/>
        <w:gridCol w:w="1800"/>
        <w:gridCol w:w="3160"/>
      </w:tblGrid>
      <w:tr>
        <w:trPr>
          <w:tblHeader w:val="true"/>
        </w:trPr>
        <w:tc>
          <w:tcPr>
            <w:tcW w:type="dxa" w:w="2700"/>
            <w:shd w:fill="33233E"/>
            <w:vAlign w:val="center"/>
            <w:tcMar>
              <w:top w:w="80" w:type="dxa"/>
              <w:bottom w:w="80" w:type="dxa"/>
              <w:start w:w="120" w:type="dxa"/>
              <w:end w:w="120" w:type="dxa"/>
            </w:tcMar>
          </w:tcPr>
          <w:p>
            <w:pPr>
              <w:spacing w:after="0"/>
              <w:jc w:val="left"/>
            </w:pPr>
            <w:r/>
            <w:r>
              <w:rPr>
                <w:rFonts w:ascii="Calibri" w:hAnsi="Calibri"/>
                <w:b/>
                <w:color w:val="FFFFFF"/>
                <w:sz w:val="19"/>
              </w:rPr>
              <w:t>Price component</w:t>
            </w:r>
          </w:p>
        </w:tc>
        <w:tc>
          <w:tcPr>
            <w:tcW w:type="dxa" w:w="1700"/>
            <w:shd w:fill="33233E"/>
            <w:vAlign w:val="center"/>
            <w:tcMar>
              <w:top w:w="80" w:type="dxa"/>
              <w:bottom w:w="80" w:type="dxa"/>
              <w:start w:w="120" w:type="dxa"/>
              <w:end w:w="120" w:type="dxa"/>
            </w:tcMar>
          </w:tcPr>
          <w:p>
            <w:pPr>
              <w:spacing w:after="0"/>
              <w:jc w:val="center"/>
            </w:pPr>
            <w:r/>
            <w:r>
              <w:rPr>
                <w:rFonts w:ascii="Calibri" w:hAnsi="Calibri"/>
                <w:b/>
                <w:color w:val="FFFFFF"/>
                <w:sz w:val="19"/>
              </w:rPr>
              <w:t>Basis</w:t>
            </w:r>
          </w:p>
        </w:tc>
        <w:tc>
          <w:tcPr>
            <w:tcW w:type="dxa" w:w="1800"/>
            <w:shd w:fill="33233E"/>
            <w:vAlign w:val="center"/>
            <w:tcMar>
              <w:top w:w="80" w:type="dxa"/>
              <w:bottom w:w="80" w:type="dxa"/>
              <w:start w:w="120" w:type="dxa"/>
              <w:end w:w="120" w:type="dxa"/>
            </w:tcMar>
          </w:tcPr>
          <w:p>
            <w:pPr>
              <w:spacing w:after="0"/>
              <w:jc w:val="right"/>
            </w:pPr>
            <w:r/>
            <w:r>
              <w:rPr>
                <w:rFonts w:ascii="Calibri" w:hAnsi="Calibri"/>
                <w:b/>
                <w:color w:val="FFFFFF"/>
                <w:sz w:val="19"/>
              </w:rPr>
              <w:t>Amount</w:t>
            </w:r>
          </w:p>
        </w:tc>
        <w:tc>
          <w:tcPr>
            <w:tcW w:type="dxa" w:w="3160"/>
            <w:shd w:fill="33233E"/>
            <w:vAlign w:val="center"/>
            <w:tcMar>
              <w:top w:w="80" w:type="dxa"/>
              <w:bottom w:w="80" w:type="dxa"/>
              <w:start w:w="120" w:type="dxa"/>
              <w:end w:w="120" w:type="dxa"/>
            </w:tcMar>
          </w:tcPr>
          <w:p>
            <w:pPr>
              <w:spacing w:after="0"/>
              <w:jc w:val="left"/>
            </w:pPr>
            <w:r/>
            <w:r>
              <w:rPr>
                <w:rFonts w:ascii="Calibri" w:hAnsi="Calibri"/>
                <w:b/>
                <w:color w:val="FFFFFF"/>
                <w:sz w:val="19"/>
              </w:rPr>
              <w:t>Notes</w:t>
            </w:r>
          </w:p>
        </w:tc>
      </w:tr>
      <w:tr>
        <w:trPr>
          <w:cantSplit/>
        </w:trPr>
        <w:tc>
          <w:tcPr>
            <w:tcW w:type="dxa" w:w="2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Implementation services</w:t>
            </w:r>
          </w:p>
        </w:tc>
        <w:tc>
          <w:tcPr>
            <w:tcW w:type="dxa" w:w="17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Fixed fee</w:t>
            </w:r>
          </w:p>
        </w:tc>
        <w:tc>
          <w:tcPr>
            <w:tcW w:type="dxa" w:w="1800"/>
            <w:vAlign w:val="center"/>
            <w:tcMar>
              <w:top w:w="80" w:type="dxa"/>
              <w:bottom w:w="80" w:type="dxa"/>
              <w:start w:w="120" w:type="dxa"/>
              <w:end w:w="120" w:type="dxa"/>
            </w:tcMar>
          </w:tcPr>
          <w:p>
            <w:pPr>
              <w:spacing w:before="0" w:after="0" w:line="259" w:lineRule="auto"/>
              <w:jc w:val="right"/>
            </w:pPr>
            <w:r/>
            <w:r>
              <w:rPr>
                <w:rFonts w:ascii="Calibri" w:hAnsi="Calibri"/>
                <w:color w:val="17211B"/>
                <w:sz w:val="19"/>
              </w:rPr>
              <w:t>$420,000</w:t>
            </w:r>
          </w:p>
        </w:tc>
        <w:tc>
          <w:tcPr>
            <w:tcW w:type="dxa" w:w="31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Based on stated scope and assumptions</w:t>
            </w:r>
          </w:p>
        </w:tc>
      </w:tr>
      <w:tr>
        <w:trPr>
          <w:cantSplit/>
        </w:trPr>
        <w:tc>
          <w:tcPr>
            <w:tcW w:type="dxa" w:w="270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Optional rollout wave</w:t>
            </w:r>
          </w:p>
        </w:tc>
        <w:tc>
          <w:tcPr>
            <w:tcW w:type="dxa" w:w="1700"/>
            <w:shd w:fill="F2ECF7"/>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Per wave</w:t>
            </w:r>
          </w:p>
        </w:tc>
        <w:tc>
          <w:tcPr>
            <w:tcW w:type="dxa" w:w="1800"/>
            <w:shd w:fill="F2ECF7"/>
            <w:vAlign w:val="center"/>
            <w:tcMar>
              <w:top w:w="80" w:type="dxa"/>
              <w:bottom w:w="80" w:type="dxa"/>
              <w:start w:w="120" w:type="dxa"/>
              <w:end w:w="120" w:type="dxa"/>
            </w:tcMar>
          </w:tcPr>
          <w:p>
            <w:pPr>
              <w:spacing w:before="0" w:after="0" w:line="259" w:lineRule="auto"/>
              <w:jc w:val="right"/>
            </w:pPr>
            <w:r/>
            <w:r>
              <w:rPr>
                <w:rFonts w:ascii="Calibri" w:hAnsi="Calibri"/>
                <w:color w:val="17211B"/>
                <w:sz w:val="19"/>
              </w:rPr>
              <w:t>$48,000</w:t>
            </w:r>
          </w:p>
        </w:tc>
        <w:tc>
          <w:tcPr>
            <w:tcW w:type="dxa" w:w="3160"/>
            <w:shd w:fill="F2ECF7"/>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Requires written authorization</w:t>
            </w:r>
          </w:p>
        </w:tc>
      </w:tr>
      <w:tr>
        <w:trPr>
          <w:cantSplit/>
        </w:trPr>
        <w:tc>
          <w:tcPr>
            <w:tcW w:type="dxa" w:w="270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Travel and expenses</w:t>
            </w:r>
          </w:p>
        </w:tc>
        <w:tc>
          <w:tcPr>
            <w:tcW w:type="dxa" w:w="1700"/>
            <w:vAlign w:val="center"/>
            <w:tcMar>
              <w:top w:w="80" w:type="dxa"/>
              <w:bottom w:w="80" w:type="dxa"/>
              <w:start w:w="120" w:type="dxa"/>
              <w:end w:w="120" w:type="dxa"/>
            </w:tcMar>
          </w:tcPr>
          <w:p>
            <w:pPr>
              <w:spacing w:before="0" w:after="0" w:line="259" w:lineRule="auto"/>
              <w:jc w:val="center"/>
            </w:pPr>
            <w:r/>
            <w:r>
              <w:rPr>
                <w:rFonts w:ascii="Calibri" w:hAnsi="Calibri"/>
                <w:color w:val="17211B"/>
                <w:sz w:val="19"/>
              </w:rPr>
              <w:t>At cost</w:t>
            </w:r>
          </w:p>
        </w:tc>
        <w:tc>
          <w:tcPr>
            <w:tcW w:type="dxa" w:w="1800"/>
            <w:vAlign w:val="center"/>
            <w:tcMar>
              <w:top w:w="80" w:type="dxa"/>
              <w:bottom w:w="80" w:type="dxa"/>
              <w:start w:w="120" w:type="dxa"/>
              <w:end w:w="120" w:type="dxa"/>
            </w:tcMar>
          </w:tcPr>
          <w:p>
            <w:pPr>
              <w:spacing w:before="0" w:after="0" w:line="259" w:lineRule="auto"/>
              <w:jc w:val="right"/>
            </w:pPr>
            <w:r/>
            <w:r>
              <w:rPr>
                <w:rFonts w:ascii="Calibri" w:hAnsi="Calibri"/>
                <w:color w:val="17211B"/>
                <w:sz w:val="19"/>
              </w:rPr>
              <w:t>Not to exceed $18,000</w:t>
            </w:r>
          </w:p>
        </w:tc>
        <w:tc>
          <w:tcPr>
            <w:tcW w:type="dxa" w:w="3160"/>
            <w:vAlign w:val="center"/>
            <w:tcMar>
              <w:top w:w="80" w:type="dxa"/>
              <w:bottom w:w="80" w:type="dxa"/>
              <w:start w:w="120" w:type="dxa"/>
              <w:end w:w="120" w:type="dxa"/>
            </w:tcMar>
          </w:tcPr>
          <w:p>
            <w:pPr>
              <w:spacing w:before="0" w:after="0" w:line="259" w:lineRule="auto"/>
              <w:jc w:val="left"/>
            </w:pPr>
            <w:r/>
            <w:r>
              <w:rPr>
                <w:rFonts w:ascii="Calibri" w:hAnsi="Calibri"/>
                <w:color w:val="17211B"/>
                <w:sz w:val="19"/>
              </w:rPr>
              <w:t>Pre-approval required</w:t>
            </w:r>
          </w:p>
        </w:tc>
      </w:tr>
    </w:tbl>
    <w:p>
      <w:pPr>
        <w:spacing w:after="60"/>
      </w:pPr>
    </w:p>
    <w:p>
      <w:pPr>
        <w:pStyle w:val="Heading1"/>
      </w:pPr>
      <w:r>
        <w:t>8. Assumptions and exceptions</w:t>
      </w:r>
    </w:p>
    <w:p>
      <w:pPr>
        <w:pStyle w:val="ListParagraph"/>
        <w:numPr>
          <w:ilvl w:val="0"/>
          <w:numId w:val="14"/>
        </w:numPr>
      </w:pPr>
      <w:r>
        <w:t>Buyer access, decisions, source materials, and subject-matter experts are available according to the agreed schedule.</w:t>
      </w:r>
    </w:p>
    <w:p>
      <w:pPr>
        <w:pStyle w:val="ListParagraph"/>
        <w:numPr>
          <w:ilvl w:val="0"/>
          <w:numId w:val="14"/>
        </w:numPr>
      </w:pPr>
      <w:r>
        <w:t>Scope changes require documented impact review and written authorization.</w:t>
      </w:r>
    </w:p>
    <w:p>
      <w:pPr>
        <w:pStyle w:val="ListParagraph"/>
        <w:numPr>
          <w:ilvl w:val="0"/>
          <w:numId w:val="14"/>
        </w:numPr>
      </w:pPr>
      <w:r>
        <w:t>All legal, commercial, security, and privacy exceptions are consolidated in the designated exception schedule.</w:t>
      </w:r>
    </w:p>
    <w:p>
      <w:pPr>
        <w:pStyle w:val="Heading1"/>
      </w:pPr>
      <w:r>
        <w:t>9. Submission review</w:t>
      </w:r>
    </w:p>
    <w:p>
      <w:pPr>
        <w:pStyle w:val="ListParagraph"/>
        <w:numPr>
          <w:ilvl w:val="0"/>
          <w:numId w:val="15"/>
        </w:numPr>
      </w:pPr>
      <w:r>
        <w:t>Match every response to the buyer's requirement number and requested order.</w:t>
      </w:r>
    </w:p>
    <w:p>
      <w:pPr>
        <w:pStyle w:val="ListParagraph"/>
        <w:numPr>
          <w:ilvl w:val="0"/>
          <w:numId w:val="15"/>
        </w:numPr>
      </w:pPr>
      <w:r>
        <w:t>Reconcile names, dates, prices, commitments, attachments, and cross-references.</w:t>
      </w:r>
    </w:p>
    <w:p>
      <w:pPr>
        <w:pStyle w:val="ListParagraph"/>
        <w:numPr>
          <w:ilvl w:val="0"/>
          <w:numId w:val="15"/>
        </w:numPr>
      </w:pPr>
      <w:r>
        <w:t>Confirm signatures, certifications, file naming, delivery method, and deadline requirements.</w:t>
      </w:r>
    </w:p>
    <w:p>
      <w:pPr>
        <w:pStyle w:val="ListParagraph"/>
        <w:numPr>
          <w:ilvl w:val="0"/>
          <w:numId w:val="15"/>
        </w:numPr>
      </w:pPr>
      <w:r>
        <w:t>Complete legal, security, finance, and executive approval before submission.</w:t>
      </w:r>
    </w:p>
    <w:p>
      <w:pPr>
        <w:pStyle w:val="Quote"/>
        <w:spacing w:before="160" w:after="240"/>
        <w:shd w:fill="F2ECF7"/>
        <w:pBdr>
          <w:left w:val="single" w:sz="18" w:space="8" w:color="6F4A8E"/>
        </w:pBdr>
      </w:pPr>
      <w:r>
        <w:rPr>
          <w:rFonts w:ascii="Calibri" w:hAnsi="Calibri"/>
          <w:b/>
          <w:color w:val="33233E"/>
          <w:sz w:val="22"/>
        </w:rPr>
        <w:t xml:space="preserve">Required review: </w:t>
      </w:r>
      <w:r>
        <w:rPr>
          <w:rFonts w:ascii="Calibri" w:hAnsi="Calibri"/>
          <w:color w:val="33233E"/>
          <w:sz w:val="22"/>
        </w:rPr>
        <w:t>BrandQuill formats reviewed content. It does not verify compliance, substantiate claims, calculate pricing, approve exceptions, or determine whether a response satisfies procurement rules.</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0" w:after="0"/>
    </w:pPr>
    <w:r>
      <w:rPr>
        <w:rFonts w:ascii="Calibri" w:hAnsi="Calibri"/>
        <w:color w:val="59645D"/>
        <w:sz w:val="16"/>
      </w:rPr>
      <w:t>Free starter template | brandquill.app</w:t>
    </w:r>
    <w:r>
      <w:tab/>
    </w:r>
    <w:r>
      <w:rPr>
        <w:rFonts w:ascii="Calibri" w:hAnsi="Calibri"/>
        <w:color w:val="59645D"/>
        <w:sz w:val="16"/>
      </w:rPr>
      <w:t xml:space="preserve">Page </w:t>
    </w:r>
    <w:r>
      <w:rPr>
        <w:rFonts w:ascii="Calibri" w:hAnsi="Calibri"/>
        <w:color w:val="59645D"/>
        <w:sz w:val="16"/>
      </w:rPr>
      <w:fldChar w:fldCharType="begin"/>
      <w:instrText xml:space="preserve"> PAGE </w:instrText>
      <w:fldChar w:fldCharType="separate"/>
      <w:t>1</w:t>
      <w:fldChar w:fldCharType="end"/>
    </w:r>
    <w:r>
      <w:rPr>
        <w:rFonts w:ascii="Calibri" w:hAnsi="Calibri"/>
        <w:color w:val="59645D"/>
        <w:sz w:val="16"/>
      </w:rPr>
      <w:t xml:space="preserve"> of </w:t>
    </w:r>
    <w:r>
      <w:rPr>
        <w:rFonts w:ascii="Calibri" w:hAnsi="Calibri"/>
        <w:color w:val="59645D"/>
        <w:sz w:val="16"/>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6F4A8E"/>
        <w:sz w:val="16"/>
      </w:rPr>
      <w:t>BRANDQUILL</w:t>
    </w:r>
    <w:r>
      <w:tab/>
    </w:r>
    <w:r>
      <w:rPr>
        <w:rFonts w:ascii="Calibri" w:hAnsi="Calibri"/>
        <w:b/>
        <w:color w:val="59645D"/>
        <w:sz w:val="16"/>
      </w:rPr>
      <w:t>RFP RESPONSE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720"/>
        </w:tabs>
        <w:ind w:left="720" w:hanging="360"/>
        <w:spacing w:after="160" w:line="280" w:lineRule="auto"/>
      </w:pPr>
      <w:rPr>
        <w:rFonts w:ascii="Calibri" w:hAnsi="Calibri"/>
      </w:rPr>
    </w:lvl>
  </w:abstractNum>
  <w:num w:numId="10">
    <w:abstractNumId w:val="9"/>
  </w:num>
  <w:abstractNum w:abstractNumId="10">
    <w:multiLevelType w:val="singleLevel"/>
    <w:lvl w:ilvl="0">
      <w:start w:val="1"/>
      <w:numFmt w:val="decimal"/>
      <w:lvlText w:val="%1."/>
      <w:suff w:val="tab"/>
      <w:lvlJc w:val="left"/>
      <w:pPr>
        <w:tabs>
          <w:tab w:val="num" w:pos="720"/>
        </w:tabs>
        <w:ind w:left="720" w:hanging="360"/>
        <w:spacing w:after="160" w:line="280" w:lineRule="auto"/>
      </w:pPr>
    </w:lvl>
  </w:abstractNum>
  <w:num w:numId="11">
    <w:abstractNumId w:val="10"/>
  </w:num>
  <w:num w:numId="12">
    <w:abstractNumId w:val="9"/>
    <w:lvlOverride w:ilvl="0">
      <w:startOverride w:val="1"/>
    </w:lvlOverride>
  </w:num>
  <w:num w:numId="13">
    <w:abstractNumId w:val="10"/>
    <w:lvlOverride w:ilvl="0">
      <w:startOverride w:val="1"/>
    </w:lvlOverride>
  </w:num>
  <w:num w:numId="14">
    <w:abstractNumId w:val="9"/>
    <w:lvlOverride w:ilvl="0">
      <w:startOverride w:val="1"/>
    </w:lvlOverride>
  </w:num>
  <w:num w:numId="15">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before="0" w:after="120" w:line="264" w:lineRule="auto"/>
      <w:jc w:val="left"/>
    </w:pPr>
    <w:rPr>
      <w:rFonts w:ascii="Calibri" w:hAnsi="Calibri"/>
      <w:b w:val="0"/>
      <w:i w:val="0"/>
      <w:color w:val="1721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40" w:lineRule="auto"/>
      <w:outlineLvl w:val="0"/>
    </w:pPr>
    <w:rPr>
      <w:rFonts w:asciiTheme="majorHAnsi" w:eastAsiaTheme="majorEastAsia" w:hAnsiTheme="majorHAnsi" w:cstheme="majorBidi" w:ascii="Calibri" w:hAnsi="Calibri"/>
      <w:b/>
      <w:bCs/>
      <w:i w:val="0"/>
      <w:color w:val="6F4A8E"/>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i w:val="0"/>
      <w:color w:val="6F4A8E"/>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i w:val="0"/>
      <w:color w:val="33233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jc w:val="center"/>
    </w:pPr>
    <w:rPr>
      <w:rFonts w:asciiTheme="majorHAnsi" w:eastAsiaTheme="majorEastAsia" w:hAnsiTheme="majorHAnsi" w:cstheme="majorBidi" w:ascii="Calibri" w:hAnsi="Calibri"/>
      <w:b/>
      <w:i w:val="0"/>
      <w:color w:val="33233E"/>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line="276" w:lineRule="auto"/>
      <w:jc w:val="center"/>
    </w:pPr>
    <w:rPr>
      <w:rFonts w:asciiTheme="majorHAnsi" w:eastAsiaTheme="majorEastAsia" w:hAnsiTheme="majorHAnsi" w:cstheme="majorBidi" w:ascii="Calibri" w:hAnsi="Calibri"/>
      <w:b w:val="0"/>
      <w:i w:val="0"/>
      <w:iCs/>
      <w:color w:val="59645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keepNext w:val="0"/>
      <w:spacing w:before="0" w:after="160" w:line="280" w:lineRule="auto"/>
      <w:ind w:left="720"/>
      <w:contextualSpacing/>
    </w:pPr>
    <w:rPr>
      <w:rFonts w:ascii="Calibri" w:hAnsi="Calibri"/>
      <w:b w:val="0"/>
      <w:i w:val="0"/>
      <w:color w:val="17211B"/>
      <w:sz w:val="22"/>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spacing w:before="160" w:after="200" w:line="288" w:lineRule="auto"/>
      <w:ind w:left="259" w:right="115"/>
    </w:pPr>
    <w:rPr>
      <w:rFonts w:ascii="Calibri" w:hAnsi="Calibri"/>
      <w:b/>
      <w:i w:val="0"/>
      <w:iCs/>
      <w:color w:val="33233E"/>
      <w:sz w:val="22"/>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Calibri" w:hAnsi="Calibri"/>
      <w:b w:val="0"/>
      <w:i w:val="0"/>
      <w:color w:val="17211B"/>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keepNext w:val="0"/>
      <w:spacing w:before="80" w:after="160" w:line="240" w:lineRule="auto"/>
    </w:pPr>
    <w:rPr>
      <w:rFonts w:ascii="Courier New" w:hAnsi="Courier New"/>
      <w:b w:val="0"/>
      <w:i w:val="0"/>
      <w:color w:val="17211B"/>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BrandQuill RFP Response Starter Template</dc:title>
  <dc:subject>A reusable request for proposal response template with a compliance matrix, proposed approach, implementation plan, team, pricing, assumptions, and submission checks.</dc:subject>
  <dc:creator/>
  <cp:keywords>BrandQuill, Word template, DOCX, editable document</cp:keywords>
  <dc:description>Free rfp response starter template from brandquill.app</dc:description>
  <cp:lastModifiedBy/>
  <cp:revision>1</cp:revision>
  <dcterms:created xsi:type="dcterms:W3CDTF">2013-12-23T23:15:00Z</dcterms:created>
  <dcterms:modified xsi:type="dcterms:W3CDTF">2013-12-23T23:15:00Z</dcterms:modified>
  <cp:category/>
</cp:coreProperties>
</file>