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840"/>
      </w:pPr>
    </w:p>
    <w:p>
      <w:pPr>
        <w:keepNext/>
        <w:spacing w:before="0" w:after="240"/>
        <w:jc w:val="center"/>
      </w:pPr>
      <w:r>
        <w:rPr>
          <w:rFonts w:ascii="Calibri" w:hAnsi="Calibri"/>
          <w:b/>
          <w:color w:val="2E74B5"/>
          <w:sz w:val="18"/>
        </w:rPr>
        <w:t>CLIENT PROPOSAL</w:t>
      </w:r>
    </w:p>
    <w:p>
      <w:pPr>
        <w:pStyle w:val="Title"/>
        <w:jc w:val="center"/>
        <w:pBdr>
          <w:bottom w:val="single" w:sz="10" w:space="10" w:color="2E74B5"/>
        </w:pBdr>
      </w:pPr>
      <w:r>
        <w:rPr>
          <w:rFonts w:ascii="Calibri" w:hAnsi="Calibri"/>
          <w:b/>
          <w:color w:val="0B2545"/>
          <w:sz w:val="60"/>
        </w:rPr>
        <w:t>A clearer revenue engine for Acme Analytics</w:t>
      </w:r>
    </w:p>
    <w:p>
      <w:pPr>
        <w:pStyle w:val="Subtitle"/>
        <w:jc w:val="center"/>
      </w:pPr>
      <w:r>
        <w:rPr>
          <w:rFonts w:ascii="Calibri" w:hAnsi="Calibri"/>
          <w:color w:val="59645D"/>
          <w:sz w:val="28"/>
        </w:rPr>
        <w:t>Growth strategy and implementation proposal</w:t>
      </w:r>
    </w:p>
    <w:p>
      <w:pPr>
        <w:spacing w:after="60"/>
        <w:jc w:val="center"/>
      </w:pPr>
      <w:r>
        <w:rPr>
          <w:rFonts w:ascii="Calibri" w:hAnsi="Calibri"/>
          <w:b/>
          <w:color w:val="0B2545"/>
          <w:sz w:val="20"/>
        </w:rPr>
        <w:t xml:space="preserve">Prepared for: </w:t>
      </w:r>
      <w:r>
        <w:rPr>
          <w:rFonts w:ascii="Calibri" w:hAnsi="Calibri"/>
          <w:color w:val="59645D"/>
          <w:sz w:val="20"/>
        </w:rPr>
        <w:t>Acme Analytics</w:t>
      </w:r>
    </w:p>
    <w:p>
      <w:pPr>
        <w:spacing w:after="60"/>
        <w:jc w:val="center"/>
      </w:pPr>
      <w:r>
        <w:rPr>
          <w:rFonts w:ascii="Calibri" w:hAnsi="Calibri"/>
          <w:b/>
          <w:color w:val="0B2545"/>
          <w:sz w:val="20"/>
        </w:rPr>
        <w:t xml:space="preserve">Prepared by: </w:t>
      </w:r>
      <w:r>
        <w:rPr>
          <w:rFonts w:ascii="Calibri" w:hAnsi="Calibri"/>
          <w:color w:val="59645D"/>
          <w:sz w:val="20"/>
        </w:rPr>
        <w:t>Northstar Studio</w:t>
      </w:r>
    </w:p>
    <w:p>
      <w:pPr>
        <w:spacing w:after="60"/>
        <w:jc w:val="center"/>
      </w:pPr>
      <w:r>
        <w:rPr>
          <w:rFonts w:ascii="Calibri" w:hAnsi="Calibri"/>
          <w:b/>
          <w:color w:val="0B2545"/>
          <w:sz w:val="20"/>
        </w:rPr>
        <w:t xml:space="preserve">Date: </w:t>
      </w:r>
      <w:r>
        <w:rPr>
          <w:rFonts w:ascii="Calibri" w:hAnsi="Calibri"/>
          <w:color w:val="59645D"/>
          <w:sz w:val="20"/>
        </w:rPr>
        <w:t>August 2026</w:t>
      </w:r>
    </w:p>
    <w:p>
      <w:pPr>
        <w:spacing w:before="1200" w:after="0"/>
        <w:jc w:val="center"/>
      </w:pPr>
      <w:r>
        <w:rPr>
          <w:rFonts w:ascii="Calibri" w:hAnsi="Calibri"/>
          <w:i/>
          <w:color w:val="59645D"/>
          <w:sz w:val="18"/>
        </w:rPr>
        <w:t>Sample starter content. Replace it in Word, or publish a reviewed AI draft through BrandQuill.</w:t>
      </w:r>
    </w:p>
    <w:p>
      <w:r>
        <w:br w:type="page"/>
      </w:r>
    </w:p>
    <w:p>
      <w:pPr>
        <w:pStyle w:val="Heading1"/>
      </w:pPr>
      <w:r>
        <w:t>Executive summary</w:t>
      </w:r>
    </w:p>
    <w:p>
      <w:pPr/>
      <w:r>
        <w:t>Acme Analytics has a strong product and a growing base of satisfied customers, but its acquisition story is fragmented across channels. This proposal turns the existing expertise into one measurable buyer journey, supported by reusable messaging, focused conversion assets, and a practical operating cadence.</w:t>
      </w:r>
    </w:p>
    <w:p>
      <w:pPr>
        <w:pStyle w:val="Quote"/>
        <w:spacing w:before="160" w:after="240"/>
        <w:shd w:fill="EAF2F8"/>
        <w:pBdr>
          <w:left w:val="single" w:sz="18" w:space="8" w:color="2E74B5"/>
        </w:pBdr>
      </w:pPr>
      <w:r>
        <w:rPr>
          <w:rFonts w:ascii="Calibri" w:hAnsi="Calibri"/>
          <w:b/>
          <w:color w:val="0B2545"/>
          <w:sz w:val="22"/>
        </w:rPr>
        <w:t xml:space="preserve">Recommendation: </w:t>
      </w:r>
      <w:r>
        <w:rPr>
          <w:rFonts w:ascii="Calibri" w:hAnsi="Calibri"/>
          <w:color w:val="0B2545"/>
          <w:sz w:val="22"/>
        </w:rPr>
        <w:t>Launch a six-week revenue sprint that pairs one high-intent offer with one repeatable proof system and a weekly conversion review.</w:t>
      </w:r>
    </w:p>
    <w:p>
      <w:pPr>
        <w:pStyle w:val="Heading1"/>
      </w:pPr>
      <w:r>
        <w:t>Outcomes</w:t>
      </w:r>
    </w:p>
    <w:p>
      <w:pPr>
        <w:pStyle w:val="ListParagraph"/>
        <w:numPr>
          <w:ilvl w:val="0"/>
          <w:numId w:val="12"/>
        </w:numPr>
      </w:pPr>
      <w:r>
        <w:t>A concise positioning system that sales and marketing can use without rewriting the story for every channel.</w:t>
      </w:r>
    </w:p>
    <w:p>
      <w:pPr>
        <w:pStyle w:val="ListParagraph"/>
        <w:numPr>
          <w:ilvl w:val="0"/>
          <w:numId w:val="12"/>
        </w:numPr>
      </w:pPr>
      <w:r>
        <w:t>A high-intent landing journey with clear evidence, objections, and calls to action.</w:t>
      </w:r>
    </w:p>
    <w:p>
      <w:pPr>
        <w:pStyle w:val="ListParagraph"/>
        <w:numPr>
          <w:ilvl w:val="0"/>
          <w:numId w:val="12"/>
        </w:numPr>
      </w:pPr>
      <w:r>
        <w:t>A weekly measurement rhythm that identifies the next best conversion improvement.</w:t>
      </w:r>
    </w:p>
    <w:p>
      <w:pPr>
        <w:pStyle w:val="Heading1"/>
      </w:pPr>
      <w:r>
        <w:t>Proposed approach</w:t>
      </w:r>
    </w:p>
    <w:p>
      <w:pPr>
        <w:pStyle w:val="ListParagraph"/>
        <w:numPr>
          <w:ilvl w:val="0"/>
          <w:numId w:val="13"/>
        </w:numPr>
      </w:pPr>
      <w:r>
        <w:t>Align the offer. Confirm the priority buyer, urgent problem, proof, and commercial outcome.</w:t>
      </w:r>
    </w:p>
    <w:p>
      <w:pPr>
        <w:pStyle w:val="ListParagraph"/>
        <w:numPr>
          <w:ilvl w:val="0"/>
          <w:numId w:val="13"/>
        </w:numPr>
      </w:pPr>
      <w:r>
        <w:t>Build the journey. Create the core page, supporting proof assets, and conversion follow-up.</w:t>
      </w:r>
    </w:p>
    <w:p>
      <w:pPr>
        <w:pStyle w:val="ListParagraph"/>
        <w:numPr>
          <w:ilvl w:val="0"/>
          <w:numId w:val="13"/>
        </w:numPr>
      </w:pPr>
      <w:r>
        <w:t>Run the system. Launch, measure qualified behavior, and improve the highest-impact constraint.</w:t>
      </w:r>
    </w:p>
    <w:p>
      <w:pPr>
        <w:pStyle w:val="Heading1"/>
      </w:pPr>
      <w:r>
        <w:t>Scope and deliverables</w:t>
      </w:r>
    </w:p>
    <w:tbl>
      <w:tblPr>
        <w:tblStyle w:val="TableGrid"/>
        <w:tblW w:type="dxa" w:w="9360"/>
        <w:tblLayout w:type="fixed"/>
        <w:tblLook w:firstColumn="1" w:firstRow="1" w:lastColumn="0" w:lastRow="0" w:noHBand="0" w:noVBand="1" w:val="04A0"/>
        <w:tblInd w:w="120" w:type="dxa"/>
      </w:tblPr>
      <w:tblGrid>
        <w:gridCol w:w="900"/>
        <w:gridCol w:w="3250"/>
        <w:gridCol w:w="3310"/>
        <w:gridCol w:w="1900"/>
      </w:tblGrid>
      <w:tr>
        <w:trPr>
          <w:tblHeader w:val="true"/>
        </w:trPr>
        <w:tc>
          <w:tcPr>
            <w:tcW w:type="dxa" w:w="900"/>
            <w:shd w:fill="0B2545"/>
            <w:vAlign w:val="center"/>
            <w:tcMar>
              <w:top w:w="80" w:type="dxa"/>
              <w:bottom w:w="80" w:type="dxa"/>
              <w:start w:w="120" w:type="dxa"/>
              <w:end w:w="120" w:type="dxa"/>
            </w:tcMar>
          </w:tcPr>
          <w:p>
            <w:pPr>
              <w:spacing w:after="0"/>
              <w:jc w:val="center"/>
            </w:pPr>
            <w:r/>
            <w:r>
              <w:rPr>
                <w:rFonts w:ascii="Calibri" w:hAnsi="Calibri"/>
                <w:b/>
                <w:color w:val="FFFFFF"/>
                <w:sz w:val="19"/>
              </w:rPr>
              <w:t>Phase</w:t>
            </w:r>
          </w:p>
        </w:tc>
        <w:tc>
          <w:tcPr>
            <w:tcW w:type="dxa" w:w="3250"/>
            <w:shd w:fill="0B2545"/>
            <w:vAlign w:val="center"/>
            <w:tcMar>
              <w:top w:w="80" w:type="dxa"/>
              <w:bottom w:w="80" w:type="dxa"/>
              <w:start w:w="120" w:type="dxa"/>
              <w:end w:w="120" w:type="dxa"/>
            </w:tcMar>
          </w:tcPr>
          <w:p>
            <w:pPr>
              <w:spacing w:after="0"/>
              <w:jc w:val="left"/>
            </w:pPr>
            <w:r/>
            <w:r>
              <w:rPr>
                <w:rFonts w:ascii="Calibri" w:hAnsi="Calibri"/>
                <w:b/>
                <w:color w:val="FFFFFF"/>
                <w:sz w:val="19"/>
              </w:rPr>
              <w:t>Included work</w:t>
            </w:r>
          </w:p>
        </w:tc>
        <w:tc>
          <w:tcPr>
            <w:tcW w:type="dxa" w:w="3310"/>
            <w:shd w:fill="0B2545"/>
            <w:vAlign w:val="center"/>
            <w:tcMar>
              <w:top w:w="80" w:type="dxa"/>
              <w:bottom w:w="80" w:type="dxa"/>
              <w:start w:w="120" w:type="dxa"/>
              <w:end w:w="120" w:type="dxa"/>
            </w:tcMar>
          </w:tcPr>
          <w:p>
            <w:pPr>
              <w:spacing w:after="0"/>
              <w:jc w:val="left"/>
            </w:pPr>
            <w:r/>
            <w:r>
              <w:rPr>
                <w:rFonts w:ascii="Calibri" w:hAnsi="Calibri"/>
                <w:b/>
                <w:color w:val="FFFFFF"/>
                <w:sz w:val="19"/>
              </w:rPr>
              <w:t>Primary deliverable</w:t>
            </w:r>
          </w:p>
        </w:tc>
        <w:tc>
          <w:tcPr>
            <w:tcW w:type="dxa" w:w="1900"/>
            <w:shd w:fill="0B2545"/>
            <w:vAlign w:val="center"/>
            <w:tcMar>
              <w:top w:w="80" w:type="dxa"/>
              <w:bottom w:w="80" w:type="dxa"/>
              <w:start w:w="120" w:type="dxa"/>
              <w:end w:w="120" w:type="dxa"/>
            </w:tcMar>
          </w:tcPr>
          <w:p>
            <w:pPr>
              <w:spacing w:after="0"/>
              <w:jc w:val="center"/>
            </w:pPr>
            <w:r/>
            <w:r>
              <w:rPr>
                <w:rFonts w:ascii="Calibri" w:hAnsi="Calibri"/>
                <w:b/>
                <w:color w:val="FFFFFF"/>
                <w:sz w:val="19"/>
              </w:rPr>
              <w:t>Timing</w:t>
            </w:r>
          </w:p>
        </w:tc>
      </w:tr>
      <w:tr>
        <w:trPr>
          <w:cantSplit/>
        </w:trPr>
        <w:tc>
          <w:tcPr>
            <w:tcW w:type="dxa" w:w="90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01</w:t>
            </w:r>
          </w:p>
        </w:tc>
        <w:tc>
          <w:tcPr>
            <w:tcW w:type="dxa" w:w="325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Buyer and offer alignment</w:t>
            </w:r>
          </w:p>
        </w:tc>
        <w:tc>
          <w:tcPr>
            <w:tcW w:type="dxa" w:w="331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Positioning brief</w:t>
            </w:r>
          </w:p>
        </w:tc>
        <w:tc>
          <w:tcPr>
            <w:tcW w:type="dxa" w:w="190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Week 1</w:t>
            </w:r>
          </w:p>
        </w:tc>
      </w:tr>
      <w:tr>
        <w:trPr>
          <w:cantSplit/>
        </w:trPr>
        <w:tc>
          <w:tcPr>
            <w:tcW w:type="dxa" w:w="900"/>
            <w:shd w:fill="EAF2F8"/>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02</w:t>
            </w:r>
          </w:p>
        </w:tc>
        <w:tc>
          <w:tcPr>
            <w:tcW w:type="dxa" w:w="3250"/>
            <w:shd w:fill="EAF2F8"/>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Journey and proof design</w:t>
            </w:r>
          </w:p>
        </w:tc>
        <w:tc>
          <w:tcPr>
            <w:tcW w:type="dxa" w:w="3310"/>
            <w:shd w:fill="EAF2F8"/>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Conversion page and proof plan</w:t>
            </w:r>
          </w:p>
        </w:tc>
        <w:tc>
          <w:tcPr>
            <w:tcW w:type="dxa" w:w="1900"/>
            <w:shd w:fill="EAF2F8"/>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Weeks 2-3</w:t>
            </w:r>
          </w:p>
        </w:tc>
      </w:tr>
      <w:tr>
        <w:trPr>
          <w:cantSplit/>
        </w:trPr>
        <w:tc>
          <w:tcPr>
            <w:tcW w:type="dxa" w:w="90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03</w:t>
            </w:r>
          </w:p>
        </w:tc>
        <w:tc>
          <w:tcPr>
            <w:tcW w:type="dxa" w:w="325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Launch and measurement</w:t>
            </w:r>
          </w:p>
        </w:tc>
        <w:tc>
          <w:tcPr>
            <w:tcW w:type="dxa" w:w="331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Live campaign and dashboard</w:t>
            </w:r>
          </w:p>
        </w:tc>
        <w:tc>
          <w:tcPr>
            <w:tcW w:type="dxa" w:w="190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Weeks 4-6</w:t>
            </w:r>
          </w:p>
        </w:tc>
      </w:tr>
    </w:tbl>
    <w:p>
      <w:pPr>
        <w:spacing w:after="60"/>
      </w:pPr>
    </w:p>
    <w:p>
      <w:r>
        <w:br w:type="page"/>
      </w:r>
    </w:p>
    <w:p>
      <w:pPr>
        <w:pStyle w:val="Heading1"/>
      </w:pPr>
      <w:r>
        <w:t>Investment and timeline</w:t>
      </w:r>
    </w:p>
    <w:p>
      <w:pPr/>
      <w:r>
        <w:t>The engagement is structured as a focused sprint with one accountable outcome. Fees below are sample content and should be replaced with reviewed commercial terms before use.</w:t>
      </w:r>
    </w:p>
    <w:tbl>
      <w:tblPr>
        <w:tblStyle w:val="TableGrid"/>
        <w:tblW w:type="dxa" w:w="9360"/>
        <w:tblLayout w:type="fixed"/>
        <w:tblLook w:firstColumn="1" w:firstRow="1" w:lastColumn="0" w:lastRow="0" w:noHBand="0" w:noVBand="1" w:val="04A0"/>
        <w:tblInd w:w="120" w:type="dxa"/>
      </w:tblPr>
      <w:tblGrid>
        <w:gridCol w:w="4700"/>
        <w:gridCol w:w="2500"/>
        <w:gridCol w:w="2160"/>
      </w:tblGrid>
      <w:tr>
        <w:trPr>
          <w:tblHeader w:val="true"/>
        </w:trPr>
        <w:tc>
          <w:tcPr>
            <w:tcW w:type="dxa" w:w="4700"/>
            <w:shd w:fill="0B2545"/>
            <w:vAlign w:val="center"/>
            <w:tcMar>
              <w:top w:w="80" w:type="dxa"/>
              <w:bottom w:w="80" w:type="dxa"/>
              <w:start w:w="120" w:type="dxa"/>
              <w:end w:w="120" w:type="dxa"/>
            </w:tcMar>
          </w:tcPr>
          <w:p>
            <w:pPr>
              <w:spacing w:after="0"/>
              <w:jc w:val="left"/>
            </w:pPr>
            <w:r/>
            <w:r>
              <w:rPr>
                <w:rFonts w:ascii="Calibri" w:hAnsi="Calibri"/>
                <w:b/>
                <w:color w:val="FFFFFF"/>
                <w:sz w:val="19"/>
              </w:rPr>
              <w:t>Workstream</w:t>
            </w:r>
          </w:p>
        </w:tc>
        <w:tc>
          <w:tcPr>
            <w:tcW w:type="dxa" w:w="2500"/>
            <w:shd w:fill="0B2545"/>
            <w:vAlign w:val="center"/>
            <w:tcMar>
              <w:top w:w="80" w:type="dxa"/>
              <w:bottom w:w="80" w:type="dxa"/>
              <w:start w:w="120" w:type="dxa"/>
              <w:end w:w="120" w:type="dxa"/>
            </w:tcMar>
          </w:tcPr>
          <w:p>
            <w:pPr>
              <w:spacing w:after="0"/>
              <w:jc w:val="center"/>
            </w:pPr>
            <w:r/>
            <w:r>
              <w:rPr>
                <w:rFonts w:ascii="Calibri" w:hAnsi="Calibri"/>
                <w:b/>
                <w:color w:val="FFFFFF"/>
                <w:sz w:val="19"/>
              </w:rPr>
              <w:t>Delivery</w:t>
            </w:r>
          </w:p>
        </w:tc>
        <w:tc>
          <w:tcPr>
            <w:tcW w:type="dxa" w:w="2160"/>
            <w:shd w:fill="0B2545"/>
            <w:vAlign w:val="center"/>
            <w:tcMar>
              <w:top w:w="80" w:type="dxa"/>
              <w:bottom w:w="80" w:type="dxa"/>
              <w:start w:w="120" w:type="dxa"/>
              <w:end w:w="120" w:type="dxa"/>
            </w:tcMar>
          </w:tcPr>
          <w:p>
            <w:pPr>
              <w:spacing w:after="0"/>
              <w:jc w:val="right"/>
            </w:pPr>
            <w:r/>
            <w:r>
              <w:rPr>
                <w:rFonts w:ascii="Calibri" w:hAnsi="Calibri"/>
                <w:b/>
                <w:color w:val="FFFFFF"/>
                <w:sz w:val="19"/>
              </w:rPr>
              <w:t>Fee</w:t>
            </w:r>
          </w:p>
        </w:tc>
      </w:tr>
      <w:tr>
        <w:trPr>
          <w:cantSplit/>
        </w:trPr>
        <w:tc>
          <w:tcPr>
            <w:tcW w:type="dxa" w:w="47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Strategy and positioning</w:t>
            </w:r>
          </w:p>
        </w:tc>
        <w:tc>
          <w:tcPr>
            <w:tcW w:type="dxa" w:w="250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Week 1</w:t>
            </w:r>
          </w:p>
        </w:tc>
        <w:tc>
          <w:tcPr>
            <w:tcW w:type="dxa" w:w="2160"/>
            <w:vAlign w:val="center"/>
            <w:tcMar>
              <w:top w:w="80" w:type="dxa"/>
              <w:bottom w:w="80" w:type="dxa"/>
              <w:start w:w="120" w:type="dxa"/>
              <w:end w:w="120" w:type="dxa"/>
            </w:tcMar>
          </w:tcPr>
          <w:p>
            <w:pPr>
              <w:spacing w:before="0" w:after="0" w:line="259" w:lineRule="auto"/>
              <w:jc w:val="right"/>
            </w:pPr>
            <w:r/>
            <w:r>
              <w:rPr>
                <w:rFonts w:ascii="Calibri" w:hAnsi="Calibri"/>
                <w:color w:val="17211B"/>
                <w:sz w:val="19"/>
              </w:rPr>
              <w:t>$4,000</w:t>
            </w:r>
          </w:p>
        </w:tc>
      </w:tr>
      <w:tr>
        <w:trPr>
          <w:cantSplit/>
        </w:trPr>
        <w:tc>
          <w:tcPr>
            <w:tcW w:type="dxa" w:w="4700"/>
            <w:shd w:fill="EAF2F8"/>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Journey and conversion assets</w:t>
            </w:r>
          </w:p>
        </w:tc>
        <w:tc>
          <w:tcPr>
            <w:tcW w:type="dxa" w:w="2500"/>
            <w:shd w:fill="EAF2F8"/>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Weeks 2-3</w:t>
            </w:r>
          </w:p>
        </w:tc>
        <w:tc>
          <w:tcPr>
            <w:tcW w:type="dxa" w:w="2160"/>
            <w:shd w:fill="EAF2F8"/>
            <w:vAlign w:val="center"/>
            <w:tcMar>
              <w:top w:w="80" w:type="dxa"/>
              <w:bottom w:w="80" w:type="dxa"/>
              <w:start w:w="120" w:type="dxa"/>
              <w:end w:w="120" w:type="dxa"/>
            </w:tcMar>
          </w:tcPr>
          <w:p>
            <w:pPr>
              <w:spacing w:before="0" w:after="0" w:line="259" w:lineRule="auto"/>
              <w:jc w:val="right"/>
            </w:pPr>
            <w:r/>
            <w:r>
              <w:rPr>
                <w:rFonts w:ascii="Calibri" w:hAnsi="Calibri"/>
                <w:color w:val="17211B"/>
                <w:sz w:val="19"/>
              </w:rPr>
              <w:t>$8,500</w:t>
            </w:r>
          </w:p>
        </w:tc>
      </w:tr>
      <w:tr>
        <w:trPr>
          <w:cantSplit/>
        </w:trPr>
        <w:tc>
          <w:tcPr>
            <w:tcW w:type="dxa" w:w="47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Launch and optimization</w:t>
            </w:r>
          </w:p>
        </w:tc>
        <w:tc>
          <w:tcPr>
            <w:tcW w:type="dxa" w:w="250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Weeks 4-6</w:t>
            </w:r>
          </w:p>
        </w:tc>
        <w:tc>
          <w:tcPr>
            <w:tcW w:type="dxa" w:w="2160"/>
            <w:vAlign w:val="center"/>
            <w:tcMar>
              <w:top w:w="80" w:type="dxa"/>
              <w:bottom w:w="80" w:type="dxa"/>
              <w:start w:w="120" w:type="dxa"/>
              <w:end w:w="120" w:type="dxa"/>
            </w:tcMar>
          </w:tcPr>
          <w:p>
            <w:pPr>
              <w:spacing w:before="0" w:after="0" w:line="259" w:lineRule="auto"/>
              <w:jc w:val="right"/>
            </w:pPr>
            <w:r/>
            <w:r>
              <w:rPr>
                <w:rFonts w:ascii="Calibri" w:hAnsi="Calibri"/>
                <w:color w:val="17211B"/>
                <w:sz w:val="19"/>
              </w:rPr>
              <w:t>$5,500</w:t>
            </w:r>
          </w:p>
        </w:tc>
      </w:tr>
    </w:tbl>
    <w:p>
      <w:pPr>
        <w:spacing w:after="60"/>
      </w:pPr>
    </w:p>
    <w:p>
      <w:pPr>
        <w:pStyle w:val="Quote"/>
        <w:spacing w:before="160" w:after="240"/>
        <w:shd w:fill="EAF2F8"/>
        <w:pBdr>
          <w:left w:val="single" w:sz="18" w:space="8" w:color="2E74B5"/>
        </w:pBdr>
      </w:pPr>
      <w:r>
        <w:rPr>
          <w:rFonts w:ascii="Calibri" w:hAnsi="Calibri"/>
          <w:b/>
          <w:color w:val="0B2545"/>
          <w:sz w:val="22"/>
        </w:rPr>
        <w:t xml:space="preserve">Sample total investment: </w:t>
      </w:r>
      <w:r>
        <w:rPr>
          <w:rFonts w:ascii="Calibri" w:hAnsi="Calibri"/>
          <w:color w:val="0B2545"/>
          <w:sz w:val="22"/>
        </w:rPr>
        <w:t>$18,000, invoiced 50 percent at kickoff and 50 percent at launch.</w:t>
      </w:r>
    </w:p>
    <w:p>
      <w:pPr>
        <w:pStyle w:val="Heading1"/>
      </w:pPr>
      <w:r>
        <w:t>Assumptions</w:t>
      </w:r>
    </w:p>
    <w:p>
      <w:pPr>
        <w:pStyle w:val="ListParagraph"/>
        <w:numPr>
          <w:ilvl w:val="0"/>
          <w:numId w:val="14"/>
        </w:numPr>
      </w:pPr>
      <w:r>
        <w:t>Acme Analytics provides timely access to current messaging, analytics, and approved customer evidence.</w:t>
      </w:r>
    </w:p>
    <w:p>
      <w:pPr>
        <w:pStyle w:val="ListParagraph"/>
        <w:numPr>
          <w:ilvl w:val="0"/>
          <w:numId w:val="14"/>
        </w:numPr>
      </w:pPr>
      <w:r>
        <w:t>One consolidated review is returned within two business days at each approval point.</w:t>
      </w:r>
    </w:p>
    <w:p>
      <w:pPr>
        <w:pStyle w:val="ListParagraph"/>
        <w:numPr>
          <w:ilvl w:val="0"/>
          <w:numId w:val="14"/>
        </w:numPr>
      </w:pPr>
      <w:r>
        <w:t>Media spend, external production, and material scope changes are excluded unless added in writing.</w:t>
      </w:r>
    </w:p>
    <w:p>
      <w:pPr>
        <w:pStyle w:val="Heading1"/>
      </w:pPr>
      <w:r>
        <w:t>Next steps</w:t>
      </w:r>
    </w:p>
    <w:p>
      <w:pPr>
        <w:pStyle w:val="ListParagraph"/>
        <w:numPr>
          <w:ilvl w:val="0"/>
          <w:numId w:val="15"/>
        </w:numPr>
      </w:pPr>
      <w:r>
        <w:t>Confirm the scope, commercial terms, and authorized signatories.</w:t>
      </w:r>
    </w:p>
    <w:p>
      <w:pPr>
        <w:pStyle w:val="ListParagraph"/>
        <w:numPr>
          <w:ilvl w:val="0"/>
          <w:numId w:val="15"/>
        </w:numPr>
      </w:pPr>
      <w:r>
        <w:t>Schedule the kickoff and provide source materials.</w:t>
      </w:r>
    </w:p>
    <w:p>
      <w:pPr>
        <w:pStyle w:val="ListParagraph"/>
        <w:numPr>
          <w:ilvl w:val="0"/>
          <w:numId w:val="15"/>
        </w:numPr>
      </w:pPr>
      <w:r>
        <w:t>Begin the alignment sprint within five business days of approval.</w:t>
      </w:r>
    </w:p>
    <w:p>
      <w:pPr>
        <w:pStyle w:val="Quote"/>
        <w:spacing w:before="160" w:after="240"/>
        <w:shd w:fill="EAF2F8"/>
        <w:pBdr>
          <w:left w:val="single" w:sz="18" w:space="8" w:color="2E74B5"/>
        </w:pBdr>
      </w:pPr>
      <w:r>
        <w:rPr>
          <w:rFonts w:ascii="Calibri" w:hAnsi="Calibri"/>
          <w:b/>
          <w:color w:val="0B2545"/>
          <w:sz w:val="22"/>
        </w:rPr>
        <w:t xml:space="preserve">Review before sending: </w:t>
      </w:r>
      <w:r>
        <w:rPr>
          <w:rFonts w:ascii="Calibri" w:hAnsi="Calibri"/>
          <w:color w:val="0B2545"/>
          <w:sz w:val="22"/>
        </w:rPr>
        <w:t>Verify names, claims, dates, pricing, tax treatment, and contractual language with the appropriate reviewers.</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spacing w:before="0" w:after="0"/>
    </w:pPr>
    <w:r>
      <w:rPr>
        <w:rFonts w:ascii="Calibri" w:hAnsi="Calibri"/>
        <w:color w:val="59645D"/>
        <w:sz w:val="16"/>
      </w:rPr>
      <w:t>Free starter template | brandquill.app</w:t>
    </w:r>
    <w:r>
      <w:tab/>
    </w:r>
    <w:r>
      <w:rPr>
        <w:rFonts w:ascii="Calibri" w:hAnsi="Calibri"/>
        <w:color w:val="59645D"/>
        <w:sz w:val="16"/>
      </w:rPr>
      <w:t xml:space="preserve">Page </w:t>
    </w:r>
    <w:r>
      <w:rPr>
        <w:rFonts w:ascii="Calibri" w:hAnsi="Calibri"/>
        <w:color w:val="59645D"/>
        <w:sz w:val="16"/>
      </w:rPr>
      <w:fldChar w:fldCharType="begin"/>
      <w:instrText xml:space="preserve"> PAGE </w:instrText>
      <w:fldChar w:fldCharType="separate"/>
      <w:t>1</w:t>
      <w:fldChar w:fldCharType="end"/>
    </w:r>
    <w:r>
      <w:rPr>
        <w:rFonts w:ascii="Calibri" w:hAnsi="Calibri"/>
        <w:color w:val="59645D"/>
        <w:sz w:val="16"/>
      </w:rPr>
      <w:t xml:space="preserve"> of </w:t>
    </w:r>
    <w:r>
      <w:rPr>
        <w:rFonts w:ascii="Calibri" w:hAnsi="Calibri"/>
        <w:color w:val="59645D"/>
        <w:sz w:val="16"/>
      </w:rPr>
      <w:fldChar w:fldCharType="begin"/>
      <w:instrText xml:space="preserve"> NUMPAGES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Pr>
        <w:rFonts w:ascii="Calibri" w:hAnsi="Calibri"/>
        <w:b/>
        <w:color w:val="2E74B5"/>
        <w:sz w:val="16"/>
      </w:rPr>
      <w:t>BRANDQUILL</w:t>
    </w:r>
    <w:r>
      <w:tab/>
    </w:r>
    <w:r>
      <w:rPr>
        <w:rFonts w:ascii="Calibri" w:hAnsi="Calibri"/>
        <w:b/>
        <w:color w:val="59645D"/>
        <w:sz w:val="16"/>
      </w:rPr>
      <w:t>CLIENT PROPOSAL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lvlJc w:val="left"/>
      <w:pPr>
        <w:tabs>
          <w:tab w:val="num" w:pos="540"/>
        </w:tabs>
        <w:ind w:left="540" w:hanging="280"/>
        <w:spacing w:after="80" w:line="290" w:lineRule="auto"/>
      </w:pPr>
      <w:rPr>
        <w:rFonts w:ascii="Calibri" w:hAnsi="Calibri"/>
      </w:rPr>
    </w:lvl>
  </w:abstractNum>
  <w:num w:numId="10">
    <w:abstractNumId w:val="9"/>
  </w:num>
  <w:abstractNum w:abstractNumId="10">
    <w:multiLevelType w:val="singleLevel"/>
    <w:lvl w:ilvl="0">
      <w:start w:val="1"/>
      <w:numFmt w:val="decimal"/>
      <w:lvlText w:val="%1."/>
      <w:suff w:val="tab"/>
      <w:lvlJc w:val="left"/>
      <w:pPr>
        <w:tabs>
          <w:tab w:val="num" w:pos="540"/>
        </w:tabs>
        <w:ind w:left="540" w:hanging="280"/>
        <w:spacing w:after="80" w:line="290" w:lineRule="auto"/>
      </w:pPr>
    </w:lvl>
  </w:abstractNum>
  <w:num w:numId="11">
    <w:abstractNumId w:val="10"/>
  </w:num>
  <w:num w:numId="12">
    <w:abstractNumId w:val="9"/>
    <w:lvlOverride w:ilvl="0">
      <w:startOverride w:val="1"/>
    </w:lvlOverride>
  </w:num>
  <w:num w:numId="13">
    <w:abstractNumId w:val="10"/>
    <w:lvlOverride w:ilvl="0">
      <w:startOverride w:val="1"/>
    </w:lvlOverride>
  </w:num>
  <w:num w:numId="14">
    <w:abstractNumId w:val="9"/>
    <w:lvlOverride w:ilvl="0">
      <w:startOverride w:val="1"/>
    </w:lvlOverride>
  </w:num>
  <w:num w:numId="15">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spacing w:before="0" w:after="160" w:line="320" w:lineRule="auto"/>
      <w:jc w:val="both"/>
    </w:pPr>
    <w:rPr>
      <w:rFonts w:ascii="Calibri" w:hAnsi="Calibri"/>
      <w:b w:val="0"/>
      <w:i w:val="0"/>
      <w:color w:val="17211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i w:val="0"/>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40" w:lineRule="auto"/>
      <w:outlineLvl w:val="1"/>
    </w:pPr>
    <w:rPr>
      <w:rFonts w:asciiTheme="majorHAnsi" w:eastAsiaTheme="majorEastAsia" w:hAnsiTheme="majorHAnsi" w:cstheme="majorBidi" w:ascii="Calibri" w:hAnsi="Calibri"/>
      <w:b/>
      <w:bCs/>
      <w:i w:val="0"/>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outlineLvl w:val="2"/>
    </w:pPr>
    <w:rPr>
      <w:rFonts w:asciiTheme="majorHAnsi" w:eastAsiaTheme="majorEastAsia" w:hAnsiTheme="majorHAnsi" w:cstheme="majorBidi" w:ascii="Calibri" w:hAnsi="Calibri"/>
      <w:b/>
      <w:bCs/>
      <w:i w:val="0"/>
      <w:color w:val="0B2545"/>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60" w:line="240" w:lineRule="auto" w:before="0"/>
      <w:contextualSpacing/>
      <w:jc w:val="center"/>
    </w:pPr>
    <w:rPr>
      <w:rFonts w:asciiTheme="majorHAnsi" w:eastAsiaTheme="majorEastAsia" w:hAnsiTheme="majorHAnsi" w:cstheme="majorBidi" w:ascii="Calibri" w:hAnsi="Calibri"/>
      <w:b/>
      <w:i w:val="0"/>
      <w:color w:val="0B2545"/>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line="276" w:lineRule="auto"/>
      <w:jc w:val="center"/>
    </w:pPr>
    <w:rPr>
      <w:rFonts w:asciiTheme="majorHAnsi" w:eastAsiaTheme="majorEastAsia" w:hAnsiTheme="majorHAnsi" w:cstheme="majorBidi" w:ascii="Calibri" w:hAnsi="Calibri"/>
      <w:b w:val="0"/>
      <w:i w:val="0"/>
      <w:iCs/>
      <w:color w:val="59645D"/>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keepNext w:val="0"/>
      <w:spacing w:before="0" w:after="80" w:line="290" w:lineRule="auto"/>
      <w:ind w:left="720"/>
      <w:contextualSpacing/>
    </w:pPr>
    <w:rPr>
      <w:rFonts w:ascii="Calibri" w:hAnsi="Calibri"/>
      <w:b w:val="0"/>
      <w:i w:val="0"/>
      <w:color w:val="17211B"/>
      <w:sz w:val="22"/>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keepNext w:val="0"/>
      <w:spacing w:before="160" w:after="200" w:line="288" w:lineRule="auto"/>
      <w:ind w:left="259" w:right="115"/>
    </w:pPr>
    <w:rPr>
      <w:rFonts w:ascii="Calibri" w:hAnsi="Calibri"/>
      <w:b/>
      <w:i w:val="0"/>
      <w:iCs/>
      <w:color w:val="0B2545"/>
      <w:sz w:val="22"/>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rPr>
      <w:rFonts w:ascii="Calibri" w:hAnsi="Calibri"/>
      <w:b w:val="0"/>
      <w:i w:val="0"/>
      <w:color w:val="17211B"/>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
    <w:name w:val="Code"/>
    <w:pPr>
      <w:keepNext w:val="0"/>
      <w:spacing w:before="80" w:after="160" w:line="240" w:lineRule="auto"/>
    </w:pPr>
    <w:rPr>
      <w:rFonts w:ascii="Courier New" w:hAnsi="Courier New"/>
      <w:b w:val="0"/>
      <w:i w:val="0"/>
      <w:color w:val="17211B"/>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BrandQuill Client Proposal Starter Template</dc:title>
  <dc:subject>A reusable client proposal template with structured scope, timeline, pricing, and next steps.</dc:subject>
  <dc:creator/>
  <cp:keywords>BrandQuill, Word template, DOCX, editable document</cp:keywords>
  <dc:description>Free client proposal starter template from brandquill.app</dc:description>
  <cp:lastModifiedBy/>
  <cp:revision>1</cp:revision>
  <dcterms:created xsi:type="dcterms:W3CDTF">2013-12-23T23:15:00Z</dcterms:created>
  <dcterms:modified xsi:type="dcterms:W3CDTF">2013-12-23T23:15:00Z</dcterms:modified>
  <cp:category/>
</cp:coreProperties>
</file>