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40"/>
      </w:pPr>
    </w:p>
    <w:p>
      <w:pPr>
        <w:keepNext/>
        <w:spacing w:before="0" w:after="240"/>
        <w:jc w:val="left"/>
      </w:pPr>
      <w:r>
        <w:rPr>
          <w:rFonts w:ascii="Calibri" w:hAnsi="Calibri"/>
          <w:b/>
          <w:color w:val="3C5A99"/>
          <w:sz w:val="18"/>
        </w:rPr>
        <w:t>WEEKLY PROJECT STATUS REPORT</w:t>
      </w:r>
    </w:p>
    <w:p>
      <w:pPr>
        <w:pStyle w:val="Title"/>
        <w:jc w:val="left"/>
        <w:pBdr>
          <w:bottom w:val="single" w:sz="10" w:space="10" w:color="3C5A99"/>
        </w:pBdr>
      </w:pPr>
      <w:r>
        <w:rPr>
          <w:rFonts w:ascii="Calibri" w:hAnsi="Calibri"/>
          <w:b/>
          <w:color w:val="1F2F55"/>
          <w:sz w:val="60"/>
        </w:rPr>
        <w:t>Phoenix CRM migration</w:t>
      </w:r>
    </w:p>
    <w:p>
      <w:pPr>
        <w:pStyle w:val="Subtitle"/>
        <w:jc w:val="left"/>
      </w:pPr>
      <w:r>
        <w:rPr>
          <w:rFonts w:ascii="Calibri" w:hAnsi="Calibri"/>
          <w:color w:val="59645D"/>
          <w:sz w:val="28"/>
        </w:rPr>
        <w:t>Status update | Week ending August 21, 2026</w:t>
      </w:r>
    </w:p>
    <w:p>
      <w:pPr/>
      <w:r>
        <w:rPr>
          <w:b/>
        </w:rPr>
        <w:t>Executive sponsor:</w:t>
      </w:r>
      <w:r>
        <w:t xml:space="preserve"> Jordan Lee, Chief Operating Officer</w:t>
      </w:r>
    </w:p>
    <w:p>
      <w:pPr/>
      <w:r>
        <w:rPr>
          <w:b/>
        </w:rPr>
        <w:t>Project lead:</w:t>
      </w:r>
      <w:r>
        <w:t xml:space="preserve"> Morgan Chen, Transformation Office</w:t>
      </w:r>
    </w:p>
    <w:p>
      <w:pPr/>
      <w:r>
        <w:rPr>
          <w:b/>
        </w:rPr>
        <w:t>Reporting period:</w:t>
      </w:r>
      <w:r>
        <w:t xml:space="preserve"> August 17 through August 21, 2026</w:t>
      </w:r>
    </w:p>
    <w:p>
      <w:pPr/>
      <w:r>
        <w:rPr>
          <w:b/>
        </w:rPr>
        <w:t>Overall status:</w:t>
      </w:r>
      <w:r>
        <w:t xml:space="preserve"> AMBER | Recovery plan active</w:t>
      </w:r>
    </w:p>
    <w:p>
      <w:pPr>
        <w:pStyle w:val="Quote"/>
        <w:spacing w:before="80" w:after="120"/>
        <w:shd w:fill="E9EEF8"/>
        <w:pBdr>
          <w:left w:val="single" w:sz="18" w:space="8" w:color="3C5A99"/>
        </w:pBdr>
      </w:pPr>
      <w:r>
        <w:rPr>
          <w:rFonts w:ascii="Calibri" w:hAnsi="Calibri"/>
          <w:b/>
          <w:color w:val="1F2F55"/>
          <w:sz w:val="22"/>
        </w:rPr>
        <w:t xml:space="preserve">Overall status: </w:t>
      </w:r>
      <w:r>
        <w:rPr>
          <w:rFonts w:ascii="Calibri" w:hAnsi="Calibri"/>
          <w:color w:val="1F2F55"/>
          <w:sz w:val="22"/>
        </w:rPr>
        <w:t>Amber. Core configuration remains on schedule, but data cleansing is five business days behind plan. The recovery actions below protect the pilot date.</w:t>
      </w:r>
    </w:p>
    <w:p>
      <w:pPr>
        <w:pStyle w:val="Heading1"/>
      </w:pPr>
      <w:r>
        <w:t>Executive update</w:t>
      </w:r>
    </w:p>
    <w:p>
      <w:pPr/>
      <w:r>
        <w:t>The team completed role design, validated the first integration path, and confirmed pilot users. Customer-account cleansing remains the primary schedule risk. Additional data owners were assigned this week, and daily exception reviews begin Monday. No change to approved scope or budget is requested at this time.</w:t>
      </w:r>
    </w:p>
    <w:p>
      <w:pPr>
        <w:pStyle w:val="Heading1"/>
      </w:pPr>
      <w:r>
        <w:t>Status by workstream</w:t>
      </w:r>
    </w:p>
    <w:tbl>
      <w:tblPr>
        <w:tblStyle w:val="TableGrid"/>
        <w:tblW w:type="dxa" w:w="9360"/>
        <w:tblLayout w:type="fixed"/>
        <w:tblLook w:firstColumn="1" w:firstRow="1" w:lastColumn="0" w:lastRow="0" w:noHBand="0" w:noVBand="1" w:val="04A0"/>
        <w:tblInd w:w="120" w:type="dxa"/>
      </w:tblPr>
      <w:tblGrid>
        <w:gridCol w:w="2150"/>
        <w:gridCol w:w="1200"/>
        <w:gridCol w:w="3160"/>
        <w:gridCol w:w="2850"/>
      </w:tblGrid>
      <w:tr>
        <w:trPr>
          <w:tblHeader w:val="true"/>
        </w:trPr>
        <w:tc>
          <w:tcPr>
            <w:tcW w:type="dxa" w:w="2150"/>
            <w:shd w:fill="1F2F55"/>
            <w:vAlign w:val="center"/>
            <w:tcMar>
              <w:top w:w="50" w:type="dxa"/>
              <w:bottom w:w="50" w:type="dxa"/>
              <w:start w:w="120" w:type="dxa"/>
              <w:end w:w="120" w:type="dxa"/>
            </w:tcMar>
          </w:tcPr>
          <w:p>
            <w:pPr>
              <w:spacing w:after="0"/>
              <w:jc w:val="left"/>
            </w:pPr>
            <w:r/>
            <w:r>
              <w:rPr>
                <w:rFonts w:ascii="Calibri" w:hAnsi="Calibri"/>
                <w:b/>
                <w:color w:val="FFFFFF"/>
                <w:sz w:val="19"/>
              </w:rPr>
              <w:t>Workstream</w:t>
            </w:r>
          </w:p>
        </w:tc>
        <w:tc>
          <w:tcPr>
            <w:tcW w:type="dxa" w:w="1200"/>
            <w:shd w:fill="1F2F55"/>
            <w:vAlign w:val="center"/>
            <w:tcMar>
              <w:top w:w="50" w:type="dxa"/>
              <w:bottom w:w="50" w:type="dxa"/>
              <w:start w:w="120" w:type="dxa"/>
              <w:end w:w="120" w:type="dxa"/>
            </w:tcMar>
          </w:tcPr>
          <w:p>
            <w:pPr>
              <w:spacing w:after="0"/>
              <w:jc w:val="center"/>
            </w:pPr>
            <w:r/>
            <w:r>
              <w:rPr>
                <w:rFonts w:ascii="Calibri" w:hAnsi="Calibri"/>
                <w:b/>
                <w:color w:val="FFFFFF"/>
                <w:sz w:val="19"/>
              </w:rPr>
              <w:t>Status</w:t>
            </w:r>
          </w:p>
        </w:tc>
        <w:tc>
          <w:tcPr>
            <w:tcW w:type="dxa" w:w="3160"/>
            <w:shd w:fill="1F2F55"/>
            <w:vAlign w:val="center"/>
            <w:tcMar>
              <w:top w:w="50" w:type="dxa"/>
              <w:bottom w:w="50" w:type="dxa"/>
              <w:start w:w="120" w:type="dxa"/>
              <w:end w:w="120" w:type="dxa"/>
            </w:tcMar>
          </w:tcPr>
          <w:p>
            <w:pPr>
              <w:spacing w:after="0"/>
              <w:jc w:val="left"/>
            </w:pPr>
            <w:r/>
            <w:r>
              <w:rPr>
                <w:rFonts w:ascii="Calibri" w:hAnsi="Calibri"/>
                <w:b/>
                <w:color w:val="FFFFFF"/>
                <w:sz w:val="19"/>
              </w:rPr>
              <w:t>This period</w:t>
            </w:r>
          </w:p>
        </w:tc>
        <w:tc>
          <w:tcPr>
            <w:tcW w:type="dxa" w:w="2850"/>
            <w:shd w:fill="1F2F55"/>
            <w:vAlign w:val="center"/>
            <w:tcMar>
              <w:top w:w="50" w:type="dxa"/>
              <w:bottom w:w="50" w:type="dxa"/>
              <w:start w:w="120" w:type="dxa"/>
              <w:end w:w="120" w:type="dxa"/>
            </w:tcMar>
          </w:tcPr>
          <w:p>
            <w:pPr>
              <w:spacing w:after="0"/>
              <w:jc w:val="left"/>
            </w:pPr>
            <w:r/>
            <w:r>
              <w:rPr>
                <w:rFonts w:ascii="Calibri" w:hAnsi="Calibri"/>
                <w:b/>
                <w:color w:val="FFFFFF"/>
                <w:sz w:val="19"/>
              </w:rPr>
              <w:t>Next checkpoint</w:t>
            </w:r>
          </w:p>
        </w:tc>
      </w:tr>
      <w:tr>
        <w:trPr>
          <w:cantSplit/>
        </w:trPr>
        <w:tc>
          <w:tcPr>
            <w:tcW w:type="dxa" w:w="215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Platform configuration</w:t>
            </w:r>
          </w:p>
        </w:tc>
        <w:tc>
          <w:tcPr>
            <w:tcW w:type="dxa" w:w="120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Green</w:t>
            </w:r>
          </w:p>
        </w:tc>
        <w:tc>
          <w:tcPr>
            <w:tcW w:type="dxa" w:w="316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Sales stages and access roles approved</w:t>
            </w:r>
          </w:p>
        </w:tc>
        <w:tc>
          <w:tcPr>
            <w:tcW w:type="dxa" w:w="285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Complete workflow testing</w:t>
            </w:r>
          </w:p>
        </w:tc>
      </w:tr>
      <w:tr>
        <w:trPr>
          <w:cantSplit/>
        </w:trPr>
        <w:tc>
          <w:tcPr>
            <w:tcW w:type="dxa" w:w="215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Data migration</w:t>
            </w:r>
          </w:p>
        </w:tc>
        <w:tc>
          <w:tcPr>
            <w:tcW w:type="dxa" w:w="1200"/>
            <w:shd w:fill="E9EEF8"/>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Amber</w:t>
            </w:r>
          </w:p>
        </w:tc>
        <w:tc>
          <w:tcPr>
            <w:tcW w:type="dxa" w:w="316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Duplicate-account rules agreed</w:t>
            </w:r>
          </w:p>
        </w:tc>
        <w:tc>
          <w:tcPr>
            <w:tcW w:type="dxa" w:w="285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Clear 80 percent of exceptions</w:t>
            </w:r>
          </w:p>
        </w:tc>
      </w:tr>
      <w:tr>
        <w:trPr>
          <w:cantSplit/>
        </w:trPr>
        <w:tc>
          <w:tcPr>
            <w:tcW w:type="dxa" w:w="215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Integrations</w:t>
            </w:r>
          </w:p>
        </w:tc>
        <w:tc>
          <w:tcPr>
            <w:tcW w:type="dxa" w:w="120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Green</w:t>
            </w:r>
          </w:p>
        </w:tc>
        <w:tc>
          <w:tcPr>
            <w:tcW w:type="dxa" w:w="316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Finance connector passed first test</w:t>
            </w:r>
          </w:p>
        </w:tc>
        <w:tc>
          <w:tcPr>
            <w:tcW w:type="dxa" w:w="285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Run end-to-end transaction test</w:t>
            </w:r>
          </w:p>
        </w:tc>
      </w:tr>
      <w:tr>
        <w:trPr>
          <w:cantSplit/>
        </w:trPr>
        <w:tc>
          <w:tcPr>
            <w:tcW w:type="dxa" w:w="215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Change readiness</w:t>
            </w:r>
          </w:p>
        </w:tc>
        <w:tc>
          <w:tcPr>
            <w:tcW w:type="dxa" w:w="1200"/>
            <w:shd w:fill="E9EEF8"/>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Green</w:t>
            </w:r>
          </w:p>
        </w:tc>
        <w:tc>
          <w:tcPr>
            <w:tcW w:type="dxa" w:w="316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Pilot group and training owners confirmed</w:t>
            </w:r>
          </w:p>
        </w:tc>
        <w:tc>
          <w:tcPr>
            <w:tcW w:type="dxa" w:w="285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Publish pilot training schedule</w:t>
            </w:r>
          </w:p>
        </w:tc>
      </w:tr>
    </w:tbl>
    <w:p>
      <w:pPr>
        <w:spacing w:after="60"/>
      </w:pPr>
    </w:p>
    <w:p>
      <w:r>
        <w:br w:type="page"/>
      </w:r>
    </w:p>
    <w:p>
      <w:pPr>
        <w:pStyle w:val="Heading1"/>
      </w:pPr>
      <w:r>
        <w:t>This period and next</w:t>
      </w:r>
    </w:p>
    <w:tbl>
      <w:tblPr>
        <w:tblStyle w:val="TableGrid"/>
        <w:tblW w:type="dxa" w:w="9360"/>
        <w:tblLayout w:type="fixed"/>
        <w:tblLook w:firstColumn="1" w:firstRow="1" w:lastColumn="0" w:lastRow="0" w:noHBand="0" w:noVBand="1" w:val="04A0"/>
        <w:tblInd w:w="120" w:type="dxa"/>
      </w:tblPr>
      <w:tblGrid>
        <w:gridCol w:w="4680"/>
        <w:gridCol w:w="4680"/>
      </w:tblGrid>
      <w:tr>
        <w:trPr>
          <w:tblHeader w:val="true"/>
        </w:trPr>
        <w:tc>
          <w:tcPr>
            <w:tcW w:type="dxa" w:w="4680"/>
            <w:shd w:fill="1F2F55"/>
            <w:vAlign w:val="center"/>
            <w:tcMar>
              <w:top w:w="50" w:type="dxa"/>
              <w:bottom w:w="50" w:type="dxa"/>
              <w:start w:w="120" w:type="dxa"/>
              <w:end w:w="120" w:type="dxa"/>
            </w:tcMar>
          </w:tcPr>
          <w:p>
            <w:pPr>
              <w:spacing w:after="0"/>
              <w:jc w:val="left"/>
            </w:pPr>
            <w:r/>
            <w:r>
              <w:rPr>
                <w:rFonts w:ascii="Calibri" w:hAnsi="Calibri"/>
                <w:b/>
                <w:color w:val="FFFFFF"/>
                <w:sz w:val="19"/>
              </w:rPr>
              <w:t>Completed this period</w:t>
            </w:r>
          </w:p>
        </w:tc>
        <w:tc>
          <w:tcPr>
            <w:tcW w:type="dxa" w:w="4680"/>
            <w:shd w:fill="1F2F55"/>
            <w:vAlign w:val="center"/>
            <w:tcMar>
              <w:top w:w="50" w:type="dxa"/>
              <w:bottom w:w="50" w:type="dxa"/>
              <w:start w:w="120" w:type="dxa"/>
              <w:end w:w="120" w:type="dxa"/>
            </w:tcMar>
          </w:tcPr>
          <w:p>
            <w:pPr>
              <w:spacing w:after="0"/>
              <w:jc w:val="left"/>
            </w:pPr>
            <w:r/>
            <w:r>
              <w:rPr>
                <w:rFonts w:ascii="Calibri" w:hAnsi="Calibri"/>
                <w:b/>
                <w:color w:val="FFFFFF"/>
                <w:sz w:val="19"/>
              </w:rPr>
              <w:t>Priorities for next period</w:t>
            </w:r>
          </w:p>
        </w:tc>
      </w:tr>
      <w:tr>
        <w:trPr>
          <w:cantSplit/>
        </w:trPr>
        <w:tc>
          <w:tcPr>
            <w:tcW w:type="dxa" w:w="468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Approved the future-state sales process and role matrix</w:t>
            </w:r>
          </w:p>
        </w:tc>
        <w:tc>
          <w:tcPr>
            <w:tcW w:type="dxa" w:w="468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Reduce unresolved customer-account exceptions below 20 percent</w:t>
            </w:r>
          </w:p>
        </w:tc>
      </w:tr>
      <w:tr>
        <w:trPr>
          <w:cantSplit/>
        </w:trPr>
        <w:tc>
          <w:tcPr>
            <w:tcW w:type="dxa" w:w="468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Validated customer, opportunity, and invoice field mappings</w:t>
            </w:r>
          </w:p>
        </w:tc>
        <w:tc>
          <w:tcPr>
            <w:tcW w:type="dxa" w:w="468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Complete end-to-end testing for the finance integration</w:t>
            </w:r>
          </w:p>
        </w:tc>
      </w:tr>
      <w:tr>
        <w:trPr>
          <w:cantSplit/>
        </w:trPr>
        <w:tc>
          <w:tcPr>
            <w:tcW w:type="dxa" w:w="468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Confirmed 24 pilot users across sales, service, and finance</w:t>
            </w:r>
          </w:p>
        </w:tc>
        <w:tc>
          <w:tcPr>
            <w:tcW w:type="dxa" w:w="468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Publish pilot training dates, materials, and attendance owners</w:t>
            </w:r>
          </w:p>
        </w:tc>
      </w:tr>
    </w:tbl>
    <w:p>
      <w:pPr>
        <w:spacing w:after="60"/>
      </w:pPr>
    </w:p>
    <w:p>
      <w:pPr>
        <w:pStyle w:val="Heading1"/>
      </w:pPr>
      <w:r>
        <w:t>Milestones</w:t>
      </w:r>
    </w:p>
    <w:tbl>
      <w:tblPr>
        <w:tblStyle w:val="TableGrid"/>
        <w:tblW w:type="dxa" w:w="9360"/>
        <w:tblLayout w:type="fixed"/>
        <w:tblLook w:firstColumn="1" w:firstRow="1" w:lastColumn="0" w:lastRow="0" w:noHBand="0" w:noVBand="1" w:val="04A0"/>
        <w:tblInd w:w="120" w:type="dxa"/>
      </w:tblPr>
      <w:tblGrid>
        <w:gridCol w:w="3540"/>
        <w:gridCol w:w="2100"/>
        <w:gridCol w:w="2100"/>
        <w:gridCol w:w="1620"/>
      </w:tblGrid>
      <w:tr>
        <w:trPr>
          <w:tblHeader w:val="true"/>
        </w:trPr>
        <w:tc>
          <w:tcPr>
            <w:tcW w:type="dxa" w:w="3540"/>
            <w:shd w:fill="1F2F55"/>
            <w:vAlign w:val="center"/>
            <w:tcMar>
              <w:top w:w="50" w:type="dxa"/>
              <w:bottom w:w="50" w:type="dxa"/>
              <w:start w:w="120" w:type="dxa"/>
              <w:end w:w="120" w:type="dxa"/>
            </w:tcMar>
          </w:tcPr>
          <w:p>
            <w:pPr>
              <w:spacing w:after="0"/>
              <w:jc w:val="left"/>
            </w:pPr>
            <w:r/>
            <w:r>
              <w:rPr>
                <w:rFonts w:ascii="Calibri" w:hAnsi="Calibri"/>
                <w:b/>
                <w:color w:val="FFFFFF"/>
                <w:sz w:val="19"/>
              </w:rPr>
              <w:t>Milestone</w:t>
            </w:r>
          </w:p>
        </w:tc>
        <w:tc>
          <w:tcPr>
            <w:tcW w:type="dxa" w:w="2100"/>
            <w:shd w:fill="1F2F55"/>
            <w:vAlign w:val="center"/>
            <w:tcMar>
              <w:top w:w="50" w:type="dxa"/>
              <w:bottom w:w="50" w:type="dxa"/>
              <w:start w:w="120" w:type="dxa"/>
              <w:end w:w="120" w:type="dxa"/>
            </w:tcMar>
          </w:tcPr>
          <w:p>
            <w:pPr>
              <w:spacing w:after="0"/>
              <w:jc w:val="center"/>
            </w:pPr>
            <w:r/>
            <w:r>
              <w:rPr>
                <w:rFonts w:ascii="Calibri" w:hAnsi="Calibri"/>
                <w:b/>
                <w:color w:val="FFFFFF"/>
                <w:sz w:val="19"/>
              </w:rPr>
              <w:t>Baseline</w:t>
            </w:r>
          </w:p>
        </w:tc>
        <w:tc>
          <w:tcPr>
            <w:tcW w:type="dxa" w:w="2100"/>
            <w:shd w:fill="1F2F55"/>
            <w:vAlign w:val="center"/>
            <w:tcMar>
              <w:top w:w="50" w:type="dxa"/>
              <w:bottom w:w="50" w:type="dxa"/>
              <w:start w:w="120" w:type="dxa"/>
              <w:end w:w="120" w:type="dxa"/>
            </w:tcMar>
          </w:tcPr>
          <w:p>
            <w:pPr>
              <w:spacing w:after="0"/>
              <w:jc w:val="center"/>
            </w:pPr>
            <w:r/>
            <w:r>
              <w:rPr>
                <w:rFonts w:ascii="Calibri" w:hAnsi="Calibri"/>
                <w:b/>
                <w:color w:val="FFFFFF"/>
                <w:sz w:val="19"/>
              </w:rPr>
              <w:t>Forecast</w:t>
            </w:r>
          </w:p>
        </w:tc>
        <w:tc>
          <w:tcPr>
            <w:tcW w:type="dxa" w:w="1620"/>
            <w:shd w:fill="1F2F55"/>
            <w:vAlign w:val="center"/>
            <w:tcMar>
              <w:top w:w="50" w:type="dxa"/>
              <w:bottom w:w="50" w:type="dxa"/>
              <w:start w:w="120" w:type="dxa"/>
              <w:end w:w="120" w:type="dxa"/>
            </w:tcMar>
          </w:tcPr>
          <w:p>
            <w:pPr>
              <w:spacing w:after="0"/>
              <w:jc w:val="center"/>
            </w:pPr>
            <w:r/>
            <w:r>
              <w:rPr>
                <w:rFonts w:ascii="Calibri" w:hAnsi="Calibri"/>
                <w:b/>
                <w:color w:val="FFFFFF"/>
                <w:sz w:val="19"/>
              </w:rPr>
              <w:t>Status</w:t>
            </w:r>
          </w:p>
        </w:tc>
      </w:tr>
      <w:tr>
        <w:trPr>
          <w:cantSplit/>
        </w:trPr>
        <w:tc>
          <w:tcPr>
            <w:tcW w:type="dxa" w:w="354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Configuration complete</w:t>
            </w:r>
          </w:p>
        </w:tc>
        <w:tc>
          <w:tcPr>
            <w:tcW w:type="dxa" w:w="210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Aug. 28, 2026</w:t>
            </w:r>
          </w:p>
        </w:tc>
        <w:tc>
          <w:tcPr>
            <w:tcW w:type="dxa" w:w="210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Aug. 28, 2026</w:t>
            </w:r>
          </w:p>
        </w:tc>
        <w:tc>
          <w:tcPr>
            <w:tcW w:type="dxa" w:w="162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Green</w:t>
            </w:r>
          </w:p>
        </w:tc>
      </w:tr>
      <w:tr>
        <w:trPr>
          <w:cantSplit/>
        </w:trPr>
        <w:tc>
          <w:tcPr>
            <w:tcW w:type="dxa" w:w="354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Data rehearsal complete</w:t>
            </w:r>
          </w:p>
        </w:tc>
        <w:tc>
          <w:tcPr>
            <w:tcW w:type="dxa" w:w="2100"/>
            <w:shd w:fill="E9EEF8"/>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Sep. 4, 2026</w:t>
            </w:r>
          </w:p>
        </w:tc>
        <w:tc>
          <w:tcPr>
            <w:tcW w:type="dxa" w:w="2100"/>
            <w:shd w:fill="E9EEF8"/>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Sep. 9, 2026</w:t>
            </w:r>
          </w:p>
        </w:tc>
        <w:tc>
          <w:tcPr>
            <w:tcW w:type="dxa" w:w="1620"/>
            <w:shd w:fill="E9EEF8"/>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Amber</w:t>
            </w:r>
          </w:p>
        </w:tc>
      </w:tr>
      <w:tr>
        <w:trPr>
          <w:cantSplit/>
        </w:trPr>
        <w:tc>
          <w:tcPr>
            <w:tcW w:type="dxa" w:w="354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Pilot launch</w:t>
            </w:r>
          </w:p>
        </w:tc>
        <w:tc>
          <w:tcPr>
            <w:tcW w:type="dxa" w:w="210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Sep. 14, 2026</w:t>
            </w:r>
          </w:p>
        </w:tc>
        <w:tc>
          <w:tcPr>
            <w:tcW w:type="dxa" w:w="210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Sep. 14, 2026</w:t>
            </w:r>
          </w:p>
        </w:tc>
        <w:tc>
          <w:tcPr>
            <w:tcW w:type="dxa" w:w="162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Green</w:t>
            </w:r>
          </w:p>
        </w:tc>
      </w:tr>
      <w:tr>
        <w:trPr>
          <w:cantSplit/>
        </w:trPr>
        <w:tc>
          <w:tcPr>
            <w:tcW w:type="dxa" w:w="354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Production rollout</w:t>
            </w:r>
          </w:p>
        </w:tc>
        <w:tc>
          <w:tcPr>
            <w:tcW w:type="dxa" w:w="2100"/>
            <w:shd w:fill="E9EEF8"/>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Oct. 5, 2026</w:t>
            </w:r>
          </w:p>
        </w:tc>
        <w:tc>
          <w:tcPr>
            <w:tcW w:type="dxa" w:w="2100"/>
            <w:shd w:fill="E9EEF8"/>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Oct. 5, 2026</w:t>
            </w:r>
          </w:p>
        </w:tc>
        <w:tc>
          <w:tcPr>
            <w:tcW w:type="dxa" w:w="1620"/>
            <w:shd w:fill="E9EEF8"/>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Green</w:t>
            </w:r>
          </w:p>
        </w:tc>
      </w:tr>
    </w:tbl>
    <w:p>
      <w:pPr>
        <w:spacing w:after="60"/>
      </w:pPr>
    </w:p>
    <w:p>
      <w:pPr>
        <w:pStyle w:val="Heading1"/>
      </w:pPr>
      <w:r>
        <w:t>Risks and issues</w:t>
      </w:r>
    </w:p>
    <w:tbl>
      <w:tblPr>
        <w:tblStyle w:val="TableGrid"/>
        <w:tblW w:type="dxa" w:w="9360"/>
        <w:tblLayout w:type="fixed"/>
        <w:tblLook w:firstColumn="1" w:firstRow="1" w:lastColumn="0" w:lastRow="0" w:noHBand="0" w:noVBand="1" w:val="04A0"/>
        <w:tblInd w:w="120" w:type="dxa"/>
      </w:tblPr>
      <w:tblGrid>
        <w:gridCol w:w="900"/>
        <w:gridCol w:w="3000"/>
        <w:gridCol w:w="3420"/>
        <w:gridCol w:w="2040"/>
      </w:tblGrid>
      <w:tr>
        <w:trPr>
          <w:tblHeader w:val="true"/>
        </w:trPr>
        <w:tc>
          <w:tcPr>
            <w:tcW w:type="dxa" w:w="900"/>
            <w:shd w:fill="1F2F55"/>
            <w:vAlign w:val="center"/>
            <w:tcMar>
              <w:top w:w="50" w:type="dxa"/>
              <w:bottom w:w="50" w:type="dxa"/>
              <w:start w:w="120" w:type="dxa"/>
              <w:end w:w="120" w:type="dxa"/>
            </w:tcMar>
          </w:tcPr>
          <w:p>
            <w:pPr>
              <w:spacing w:after="0"/>
              <w:jc w:val="center"/>
            </w:pPr>
            <w:r/>
            <w:r>
              <w:rPr>
                <w:rFonts w:ascii="Calibri" w:hAnsi="Calibri"/>
                <w:b/>
                <w:color w:val="FFFFFF"/>
                <w:sz w:val="19"/>
              </w:rPr>
              <w:t>Ref</w:t>
            </w:r>
          </w:p>
        </w:tc>
        <w:tc>
          <w:tcPr>
            <w:tcW w:type="dxa" w:w="3000"/>
            <w:shd w:fill="1F2F55"/>
            <w:vAlign w:val="center"/>
            <w:tcMar>
              <w:top w:w="50" w:type="dxa"/>
              <w:bottom w:w="50" w:type="dxa"/>
              <w:start w:w="120" w:type="dxa"/>
              <w:end w:w="120" w:type="dxa"/>
            </w:tcMar>
          </w:tcPr>
          <w:p>
            <w:pPr>
              <w:spacing w:after="0"/>
              <w:jc w:val="left"/>
            </w:pPr>
            <w:r/>
            <w:r>
              <w:rPr>
                <w:rFonts w:ascii="Calibri" w:hAnsi="Calibri"/>
                <w:b/>
                <w:color w:val="FFFFFF"/>
                <w:sz w:val="19"/>
              </w:rPr>
              <w:t>Risk or issue</w:t>
            </w:r>
          </w:p>
        </w:tc>
        <w:tc>
          <w:tcPr>
            <w:tcW w:type="dxa" w:w="3420"/>
            <w:shd w:fill="1F2F55"/>
            <w:vAlign w:val="center"/>
            <w:tcMar>
              <w:top w:w="50" w:type="dxa"/>
              <w:bottom w:w="50" w:type="dxa"/>
              <w:start w:w="120" w:type="dxa"/>
              <w:end w:w="120" w:type="dxa"/>
            </w:tcMar>
          </w:tcPr>
          <w:p>
            <w:pPr>
              <w:spacing w:after="0"/>
              <w:jc w:val="left"/>
            </w:pPr>
            <w:r/>
            <w:r>
              <w:rPr>
                <w:rFonts w:ascii="Calibri" w:hAnsi="Calibri"/>
                <w:b/>
                <w:color w:val="FFFFFF"/>
                <w:sz w:val="19"/>
              </w:rPr>
              <w:t>Response</w:t>
            </w:r>
          </w:p>
        </w:tc>
        <w:tc>
          <w:tcPr>
            <w:tcW w:type="dxa" w:w="2040"/>
            <w:shd w:fill="1F2F55"/>
            <w:vAlign w:val="center"/>
            <w:tcMar>
              <w:top w:w="50" w:type="dxa"/>
              <w:bottom w:w="50" w:type="dxa"/>
              <w:start w:w="120" w:type="dxa"/>
              <w:end w:w="120" w:type="dxa"/>
            </w:tcMar>
          </w:tcPr>
          <w:p>
            <w:pPr>
              <w:spacing w:after="0"/>
              <w:jc w:val="left"/>
            </w:pPr>
            <w:r/>
            <w:r>
              <w:rPr>
                <w:rFonts w:ascii="Calibri" w:hAnsi="Calibri"/>
                <w:b/>
                <w:color w:val="FFFFFF"/>
                <w:sz w:val="19"/>
              </w:rPr>
              <w:t>Owner and status</w:t>
            </w:r>
          </w:p>
        </w:tc>
      </w:tr>
      <w:tr>
        <w:trPr>
          <w:cantSplit/>
        </w:trPr>
        <w:tc>
          <w:tcPr>
            <w:tcW w:type="dxa" w:w="90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R-04</w:t>
            </w:r>
          </w:p>
        </w:tc>
        <w:tc>
          <w:tcPr>
            <w:tcW w:type="dxa" w:w="300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Customer-account cleansing is behind plan</w:t>
            </w:r>
          </w:p>
        </w:tc>
        <w:tc>
          <w:tcPr>
            <w:tcW w:type="dxa" w:w="342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Add two data owners and review exceptions daily</w:t>
            </w:r>
          </w:p>
        </w:tc>
        <w:tc>
          <w:tcPr>
            <w:tcW w:type="dxa" w:w="204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Data lead | Open</w:t>
            </w:r>
          </w:p>
        </w:tc>
      </w:tr>
      <w:tr>
        <w:trPr>
          <w:cantSplit/>
        </w:trPr>
        <w:tc>
          <w:tcPr>
            <w:tcW w:type="dxa" w:w="900"/>
            <w:shd w:fill="E9EEF8"/>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R-07</w:t>
            </w:r>
          </w:p>
        </w:tc>
        <w:tc>
          <w:tcPr>
            <w:tcW w:type="dxa" w:w="300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Pilot managers have limited training capacity</w:t>
            </w:r>
          </w:p>
        </w:tc>
        <w:tc>
          <w:tcPr>
            <w:tcW w:type="dxa" w:w="342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Offer two live sessions and one recorded option</w:t>
            </w:r>
          </w:p>
        </w:tc>
        <w:tc>
          <w:tcPr>
            <w:tcW w:type="dxa" w:w="204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Change lead | Watching</w:t>
            </w:r>
          </w:p>
        </w:tc>
      </w:tr>
      <w:tr>
        <w:trPr>
          <w:cantSplit/>
        </w:trPr>
        <w:tc>
          <w:tcPr>
            <w:tcW w:type="dxa" w:w="90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I-02</w:t>
            </w:r>
          </w:p>
        </w:tc>
        <w:tc>
          <w:tcPr>
            <w:tcW w:type="dxa" w:w="300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One finance test account lacks required permissions</w:t>
            </w:r>
          </w:p>
        </w:tc>
        <w:tc>
          <w:tcPr>
            <w:tcW w:type="dxa" w:w="342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Security team to approve the revised role</w:t>
            </w:r>
          </w:p>
        </w:tc>
        <w:tc>
          <w:tcPr>
            <w:tcW w:type="dxa" w:w="204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Tech lead | Due Aug. 25</w:t>
            </w:r>
          </w:p>
        </w:tc>
      </w:tr>
    </w:tbl>
    <w:p>
      <w:pPr>
        <w:spacing w:after="60"/>
      </w:pPr>
    </w:p>
    <w:p>
      <w:pPr>
        <w:pStyle w:val="Quote"/>
        <w:spacing w:before="80" w:after="120"/>
        <w:shd w:fill="E9EEF8"/>
        <w:pBdr>
          <w:left w:val="single" w:sz="18" w:space="8" w:color="3C5A99"/>
        </w:pBdr>
      </w:pPr>
      <w:r>
        <w:rPr>
          <w:rFonts w:ascii="Calibri" w:hAnsi="Calibri"/>
          <w:b/>
          <w:color w:val="1F2F55"/>
          <w:sz w:val="22"/>
        </w:rPr>
        <w:t xml:space="preserve">Decisions required: </w:t>
      </w:r>
      <w:r>
        <w:rPr>
          <w:rFonts w:ascii="Calibri" w:hAnsi="Calibri"/>
          <w:color w:val="1F2F55"/>
          <w:sz w:val="22"/>
        </w:rPr>
        <w:t>Approve two temporary regional data owners through September 4, and confirm whether pilot managers may use recorded training when live sessions conflict.</w:t>
      </w:r>
    </w:p>
    <w:p>
      <w:pPr>
        <w:pStyle w:val="Heading1"/>
      </w:pPr>
      <w:r>
        <w:t>Action items</w:t>
      </w:r>
    </w:p>
    <w:tbl>
      <w:tblPr>
        <w:tblStyle w:val="TableGrid"/>
        <w:tblW w:type="dxa" w:w="9360"/>
        <w:tblLayout w:type="fixed"/>
        <w:tblLook w:firstColumn="1" w:firstRow="1" w:lastColumn="0" w:lastRow="0" w:noHBand="0" w:noVBand="1" w:val="04A0"/>
        <w:tblInd w:w="120" w:type="dxa"/>
      </w:tblPr>
      <w:tblGrid>
        <w:gridCol w:w="4200"/>
        <w:gridCol w:w="1900"/>
        <w:gridCol w:w="1460"/>
        <w:gridCol w:w="1800"/>
      </w:tblGrid>
      <w:tr>
        <w:trPr>
          <w:tblHeader w:val="true"/>
        </w:trPr>
        <w:tc>
          <w:tcPr>
            <w:tcW w:type="dxa" w:w="4200"/>
            <w:shd w:fill="1F2F55"/>
            <w:vAlign w:val="center"/>
            <w:tcMar>
              <w:top w:w="50" w:type="dxa"/>
              <w:bottom w:w="50" w:type="dxa"/>
              <w:start w:w="120" w:type="dxa"/>
              <w:end w:w="120" w:type="dxa"/>
            </w:tcMar>
          </w:tcPr>
          <w:p>
            <w:pPr>
              <w:spacing w:after="0"/>
              <w:jc w:val="left"/>
            </w:pPr>
            <w:r/>
            <w:r>
              <w:rPr>
                <w:rFonts w:ascii="Calibri" w:hAnsi="Calibri"/>
                <w:b/>
                <w:color w:val="FFFFFF"/>
                <w:sz w:val="19"/>
              </w:rPr>
              <w:t>Action</w:t>
            </w:r>
          </w:p>
        </w:tc>
        <w:tc>
          <w:tcPr>
            <w:tcW w:type="dxa" w:w="1900"/>
            <w:shd w:fill="1F2F55"/>
            <w:vAlign w:val="center"/>
            <w:tcMar>
              <w:top w:w="50" w:type="dxa"/>
              <w:bottom w:w="50" w:type="dxa"/>
              <w:start w:w="120" w:type="dxa"/>
              <w:end w:w="120" w:type="dxa"/>
            </w:tcMar>
          </w:tcPr>
          <w:p>
            <w:pPr>
              <w:spacing w:after="0"/>
              <w:jc w:val="left"/>
            </w:pPr>
            <w:r/>
            <w:r>
              <w:rPr>
                <w:rFonts w:ascii="Calibri" w:hAnsi="Calibri"/>
                <w:b/>
                <w:color w:val="FFFFFF"/>
                <w:sz w:val="19"/>
              </w:rPr>
              <w:t>Owner</w:t>
            </w:r>
          </w:p>
        </w:tc>
        <w:tc>
          <w:tcPr>
            <w:tcW w:type="dxa" w:w="1460"/>
            <w:shd w:fill="1F2F55"/>
            <w:vAlign w:val="center"/>
            <w:tcMar>
              <w:top w:w="50" w:type="dxa"/>
              <w:bottom w:w="50" w:type="dxa"/>
              <w:start w:w="120" w:type="dxa"/>
              <w:end w:w="120" w:type="dxa"/>
            </w:tcMar>
          </w:tcPr>
          <w:p>
            <w:pPr>
              <w:spacing w:after="0"/>
              <w:jc w:val="center"/>
            </w:pPr>
            <w:r/>
            <w:r>
              <w:rPr>
                <w:rFonts w:ascii="Calibri" w:hAnsi="Calibri"/>
                <w:b/>
                <w:color w:val="FFFFFF"/>
                <w:sz w:val="19"/>
              </w:rPr>
              <w:t>Due</w:t>
            </w:r>
          </w:p>
        </w:tc>
        <w:tc>
          <w:tcPr>
            <w:tcW w:type="dxa" w:w="1800"/>
            <w:shd w:fill="1F2F55"/>
            <w:vAlign w:val="center"/>
            <w:tcMar>
              <w:top w:w="50" w:type="dxa"/>
              <w:bottom w:w="50" w:type="dxa"/>
              <w:start w:w="120" w:type="dxa"/>
              <w:end w:w="120" w:type="dxa"/>
            </w:tcMar>
          </w:tcPr>
          <w:p>
            <w:pPr>
              <w:spacing w:after="0"/>
              <w:jc w:val="center"/>
            </w:pPr>
            <w:r/>
            <w:r>
              <w:rPr>
                <w:rFonts w:ascii="Calibri" w:hAnsi="Calibri"/>
                <w:b/>
                <w:color w:val="FFFFFF"/>
                <w:sz w:val="19"/>
              </w:rPr>
              <w:t>Status</w:t>
            </w:r>
          </w:p>
        </w:tc>
      </w:tr>
      <w:tr>
        <w:trPr>
          <w:cantSplit/>
        </w:trPr>
        <w:tc>
          <w:tcPr>
            <w:tcW w:type="dxa" w:w="420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Publish daily data-exception dashboard</w:t>
            </w:r>
          </w:p>
        </w:tc>
        <w:tc>
          <w:tcPr>
            <w:tcW w:type="dxa" w:w="190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Data lead</w:t>
            </w:r>
          </w:p>
        </w:tc>
        <w:tc>
          <w:tcPr>
            <w:tcW w:type="dxa" w:w="146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Aug. 24</w:t>
            </w:r>
          </w:p>
        </w:tc>
        <w:tc>
          <w:tcPr>
            <w:tcW w:type="dxa" w:w="180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In progress</w:t>
            </w:r>
          </w:p>
        </w:tc>
      </w:tr>
      <w:tr>
        <w:trPr>
          <w:cantSplit/>
        </w:trPr>
        <w:tc>
          <w:tcPr>
            <w:tcW w:type="dxa" w:w="420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Approve revised finance test role</w:t>
            </w:r>
          </w:p>
        </w:tc>
        <w:tc>
          <w:tcPr>
            <w:tcW w:type="dxa" w:w="1900"/>
            <w:shd w:fill="E9EEF8"/>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Security</w:t>
            </w:r>
          </w:p>
        </w:tc>
        <w:tc>
          <w:tcPr>
            <w:tcW w:type="dxa" w:w="1460"/>
            <w:shd w:fill="E9EEF8"/>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Aug. 25</w:t>
            </w:r>
          </w:p>
        </w:tc>
        <w:tc>
          <w:tcPr>
            <w:tcW w:type="dxa" w:w="1800"/>
            <w:shd w:fill="E9EEF8"/>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Open</w:t>
            </w:r>
          </w:p>
        </w:tc>
      </w:tr>
      <w:tr>
        <w:trPr>
          <w:cantSplit/>
        </w:trPr>
        <w:tc>
          <w:tcPr>
            <w:tcW w:type="dxa" w:w="420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Release pilot training calendar</w:t>
            </w:r>
          </w:p>
        </w:tc>
        <w:tc>
          <w:tcPr>
            <w:tcW w:type="dxa" w:w="1900"/>
            <w:vAlign w:val="center"/>
            <w:tcMar>
              <w:top w:w="50" w:type="dxa"/>
              <w:bottom w:w="50" w:type="dxa"/>
              <w:start w:w="120" w:type="dxa"/>
              <w:end w:w="120" w:type="dxa"/>
            </w:tcMar>
          </w:tcPr>
          <w:p>
            <w:pPr>
              <w:spacing w:before="0" w:after="0" w:line="259" w:lineRule="auto"/>
              <w:jc w:val="left"/>
            </w:pPr>
            <w:r/>
            <w:r>
              <w:rPr>
                <w:rFonts w:ascii="Calibri" w:hAnsi="Calibri"/>
                <w:color w:val="17211B"/>
                <w:sz w:val="19"/>
              </w:rPr>
              <w:t>Change lead</w:t>
            </w:r>
          </w:p>
        </w:tc>
        <w:tc>
          <w:tcPr>
            <w:tcW w:type="dxa" w:w="146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Aug. 26</w:t>
            </w:r>
          </w:p>
        </w:tc>
        <w:tc>
          <w:tcPr>
            <w:tcW w:type="dxa" w:w="1800"/>
            <w:vAlign w:val="center"/>
            <w:tcMar>
              <w:top w:w="50" w:type="dxa"/>
              <w:bottom w:w="50" w:type="dxa"/>
              <w:start w:w="120" w:type="dxa"/>
              <w:end w:w="120" w:type="dxa"/>
            </w:tcMar>
          </w:tcPr>
          <w:p>
            <w:pPr>
              <w:spacing w:before="0" w:after="0" w:line="259" w:lineRule="auto"/>
              <w:jc w:val="center"/>
            </w:pPr>
            <w:r/>
            <w:r>
              <w:rPr>
                <w:rFonts w:ascii="Calibri" w:hAnsi="Calibri"/>
                <w:color w:val="17211B"/>
                <w:sz w:val="19"/>
              </w:rPr>
              <w:t>Planned</w:t>
            </w:r>
          </w:p>
        </w:tc>
      </w:tr>
    </w:tbl>
    <w:p>
      <w:pPr>
        <w:spacing w:after="60"/>
      </w:pPr>
    </w:p>
    <w:p>
      <w:pPr>
        <w:pStyle w:val="Quote"/>
        <w:spacing w:before="80" w:after="120"/>
        <w:shd w:fill="E9EEF8"/>
        <w:pBdr>
          <w:left w:val="single" w:sz="18" w:space="8" w:color="3C5A99"/>
        </w:pBdr>
      </w:pPr>
      <w:r>
        <w:rPr>
          <w:rFonts w:ascii="Calibri" w:hAnsi="Calibri"/>
          <w:b/>
          <w:color w:val="1F2F55"/>
          <w:sz w:val="22"/>
        </w:rPr>
        <w:t xml:space="preserve">Review before distribution: </w:t>
      </w:r>
      <w:r>
        <w:rPr>
          <w:rFonts w:ascii="Calibri" w:hAnsi="Calibri"/>
          <w:color w:val="1F2F55"/>
          <w:sz w:val="22"/>
        </w:rPr>
        <w:t>Confirm status ratings, dates, owners, budget statements, and decision requests with the accountable project leaders.</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after="0"/>
    </w:pPr>
    <w:r>
      <w:rPr>
        <w:rFonts w:ascii="Calibri" w:hAnsi="Calibri"/>
        <w:color w:val="59645D"/>
        <w:sz w:val="16"/>
      </w:rPr>
      <w:t>Free starter template | brandquill.app</w:t>
    </w:r>
    <w:r>
      <w:tab/>
    </w:r>
    <w:r>
      <w:rPr>
        <w:rFonts w:ascii="Calibri" w:hAnsi="Calibri"/>
        <w:color w:val="59645D"/>
        <w:sz w:val="16"/>
      </w:rPr>
      <w:t xml:space="preserve">Page </w:t>
    </w:r>
    <w:r>
      <w:rPr>
        <w:rFonts w:ascii="Calibri" w:hAnsi="Calibri"/>
        <w:color w:val="59645D"/>
        <w:sz w:val="16"/>
      </w:rPr>
      <w:fldChar w:fldCharType="begin"/>
      <w:instrText xml:space="preserve"> PAGE </w:instrText>
      <w:fldChar w:fldCharType="separate"/>
      <w:t>1</w:t>
      <w:fldChar w:fldCharType="end"/>
    </w:r>
    <w:r>
      <w:rPr>
        <w:rFonts w:ascii="Calibri" w:hAnsi="Calibri"/>
        <w:color w:val="59645D"/>
        <w:sz w:val="16"/>
      </w:rPr>
      <w:t xml:space="preserve"> of </w:t>
    </w:r>
    <w:r>
      <w:rPr>
        <w:rFonts w:ascii="Calibri" w:hAnsi="Calibri"/>
        <w:color w:val="59645D"/>
        <w:sz w:val="16"/>
      </w:rPr>
      <w:fldChar w:fldCharType="begin"/>
      <w:instrText xml:space="preserve"> NUMPAGES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3C5A99"/>
        <w:sz w:val="16"/>
      </w:rPr>
      <w:t>BRANDQUILL</w:t>
    </w:r>
    <w:r>
      <w:tab/>
    </w:r>
    <w:r>
      <w:rPr>
        <w:rFonts w:ascii="Calibri" w:hAnsi="Calibri"/>
        <w:b/>
        <w:color w:val="59645D"/>
        <w:sz w:val="16"/>
      </w:rPr>
      <w:t>PROJECT STATUS REPORT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lvlJc w:val="left"/>
      <w:pPr>
        <w:tabs>
          <w:tab w:val="num" w:pos="720"/>
        </w:tabs>
        <w:ind w:left="720" w:hanging="360"/>
        <w:spacing w:after="80" w:line="280" w:lineRule="auto"/>
      </w:pPr>
      <w:rPr>
        <w:rFonts w:ascii="Calibri" w:hAnsi="Calibri"/>
      </w:rPr>
    </w:lvl>
  </w:abstractNum>
  <w:num w:numId="10">
    <w:abstractNumId w:val="9"/>
  </w:num>
  <w:abstractNum w:abstractNumId="10">
    <w:multiLevelType w:val="singleLevel"/>
    <w:lvl w:ilvl="0">
      <w:start w:val="1"/>
      <w:numFmt w:val="decimal"/>
      <w:lvlText w:val="%1."/>
      <w:suff w:val="tab"/>
      <w:lvlJc w:val="left"/>
      <w:pPr>
        <w:tabs>
          <w:tab w:val="num" w:pos="720"/>
        </w:tabs>
        <w:ind w:left="720" w:hanging="360"/>
        <w:spacing w:after="80" w:line="280"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80" w:line="264" w:lineRule="auto"/>
      <w:jc w:val="left"/>
    </w:pPr>
    <w:rPr>
      <w:rFonts w:ascii="Calibri" w:hAnsi="Calibri"/>
      <w:b w:val="0"/>
      <w:i w:val="0"/>
      <w:color w:val="17211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line="240" w:lineRule="auto"/>
      <w:outlineLvl w:val="0"/>
    </w:pPr>
    <w:rPr>
      <w:rFonts w:asciiTheme="majorHAnsi" w:eastAsiaTheme="majorEastAsia" w:hAnsiTheme="majorHAnsi" w:cstheme="majorBidi" w:ascii="Calibri" w:hAnsi="Calibri"/>
      <w:b/>
      <w:bCs/>
      <w:i w:val="0"/>
      <w:color w:val="3C5A99"/>
      <w:sz w:val="32"/>
      <w:szCs w:val="28"/>
    </w:rPr>
  </w:style>
  <w:style w:type="paragraph" w:styleId="Heading2">
    <w:name w:val="heading 2"/>
    <w:basedOn w:val="Normal"/>
    <w:next w:val="Normal"/>
    <w:link w:val="Heading2Char"/>
    <w:uiPriority w:val="9"/>
    <w:unhideWhenUsed/>
    <w:qFormat/>
    <w:rsid w:val="00FC693F"/>
    <w:pPr>
      <w:keepNext/>
      <w:keepLines/>
      <w:spacing w:before="160" w:after="80" w:line="240" w:lineRule="auto"/>
      <w:outlineLvl w:val="1"/>
    </w:pPr>
    <w:rPr>
      <w:rFonts w:asciiTheme="majorHAnsi" w:eastAsiaTheme="majorEastAsia" w:hAnsiTheme="majorHAnsi" w:cstheme="majorBidi" w:ascii="Calibri" w:hAnsi="Calibri"/>
      <w:b/>
      <w:bCs/>
      <w:i w:val="0"/>
      <w:color w:val="3C5A99"/>
      <w:sz w:val="26"/>
      <w:szCs w:val="26"/>
    </w:rPr>
  </w:style>
  <w:style w:type="paragraph" w:styleId="Heading3">
    <w:name w:val="heading 3"/>
    <w:basedOn w:val="Normal"/>
    <w:next w:val="Normal"/>
    <w:link w:val="Heading3Char"/>
    <w:uiPriority w:val="9"/>
    <w:unhideWhenUsed/>
    <w:qFormat/>
    <w:rsid w:val="00FC693F"/>
    <w:pPr>
      <w:keepNext/>
      <w:keepLines/>
      <w:spacing w:before="120" w:after="60" w:line="240" w:lineRule="auto"/>
      <w:outlineLvl w:val="2"/>
    </w:pPr>
    <w:rPr>
      <w:rFonts w:asciiTheme="majorHAnsi" w:eastAsiaTheme="majorEastAsia" w:hAnsiTheme="majorHAnsi" w:cstheme="majorBidi" w:ascii="Calibri" w:hAnsi="Calibri"/>
      <w:b/>
      <w:bCs/>
      <w:i w:val="0"/>
      <w:color w:val="1F2F5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jc w:val="center"/>
    </w:pPr>
    <w:rPr>
      <w:rFonts w:asciiTheme="majorHAnsi" w:eastAsiaTheme="majorEastAsia" w:hAnsiTheme="majorHAnsi" w:cstheme="majorBidi" w:ascii="Calibri" w:hAnsi="Calibri"/>
      <w:b/>
      <w:i w:val="0"/>
      <w:color w:val="1F2F55"/>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76" w:lineRule="auto"/>
      <w:jc w:val="center"/>
    </w:pPr>
    <w:rPr>
      <w:rFonts w:asciiTheme="majorHAnsi" w:eastAsiaTheme="majorEastAsia" w:hAnsiTheme="majorHAnsi" w:cstheme="majorBidi" w:ascii="Calibri" w:hAnsi="Calibri"/>
      <w:b w:val="0"/>
      <w:i w:val="0"/>
      <w:iCs/>
      <w:color w:val="59645D"/>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keepNext w:val="0"/>
      <w:spacing w:before="0" w:after="80" w:line="280" w:lineRule="auto"/>
      <w:ind w:left="720"/>
      <w:contextualSpacing/>
    </w:pPr>
    <w:rPr>
      <w:rFonts w:ascii="Calibri" w:hAnsi="Calibri"/>
      <w:b w:val="0"/>
      <w:i w:val="0"/>
      <w:color w:val="17211B"/>
      <w:sz w:val="22"/>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Next w:val="0"/>
      <w:spacing w:before="160" w:after="200" w:line="288" w:lineRule="auto"/>
      <w:ind w:left="259" w:right="115"/>
    </w:pPr>
    <w:rPr>
      <w:rFonts w:ascii="Calibri" w:hAnsi="Calibri"/>
      <w:b/>
      <w:i w:val="0"/>
      <w:iCs/>
      <w:color w:val="1F2F55"/>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Calibri" w:hAnsi="Calibri"/>
      <w:b w:val="0"/>
      <w:i w:val="0"/>
      <w:color w:val="17211B"/>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keepNext w:val="0"/>
      <w:spacing w:before="80" w:after="160" w:line="240" w:lineRule="auto"/>
    </w:pPr>
    <w:rPr>
      <w:rFonts w:ascii="Courier New" w:hAnsi="Courier New"/>
      <w:b w:val="0"/>
      <w:i w:val="0"/>
      <w:color w:val="17211B"/>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BrandQuill Project Status Report Starter Template</dc:title>
  <dc:subject>A reusable weekly project status report with progress, milestones, risks, decisions, and action items.</dc:subject>
  <dc:creator/>
  <cp:keywords>BrandQuill, Word template, DOCX, editable document</cp:keywords>
  <dc:description>Free project status report starter template from brandquill.app</dc:description>
  <cp:lastModifiedBy/>
  <cp:revision>1</cp:revision>
  <dcterms:created xsi:type="dcterms:W3CDTF">2013-12-23T23:15:00Z</dcterms:created>
  <dcterms:modified xsi:type="dcterms:W3CDTF">2013-12-23T23:15:00Z</dcterms:modified>
  <cp:category/>
</cp:coreProperties>
</file>