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p>
    <w:p>
      <w:pPr>
        <w:keepNext/>
        <w:spacing w:before="0" w:after="240"/>
        <w:jc w:val="left"/>
      </w:pPr>
      <w:r>
        <w:rPr>
          <w:rFonts w:ascii="Calibri" w:hAnsi="Calibri"/>
          <w:b/>
          <w:color w:val="2D6A6F"/>
          <w:sz w:val="18"/>
        </w:rPr>
        <w:t>MEETING MINUTES</w:t>
      </w:r>
    </w:p>
    <w:p>
      <w:pPr>
        <w:pStyle w:val="Title"/>
        <w:jc w:val="left"/>
      </w:pPr>
      <w:r>
        <w:rPr>
          <w:rFonts w:ascii="Calibri" w:hAnsi="Calibri"/>
          <w:b/>
          <w:color w:val="173F43"/>
          <w:sz w:val="60"/>
        </w:rPr>
        <w:t>Quarterly operations review</w:t>
      </w:r>
    </w:p>
    <w:p>
      <w:pPr>
        <w:pStyle w:val="Subtitle"/>
        <w:jc w:val="left"/>
      </w:pPr>
      <w:r>
        <w:rPr>
          <w:rFonts w:ascii="Calibri" w:hAnsi="Calibri"/>
          <w:color w:val="59645D"/>
          <w:sz w:val="28"/>
        </w:rPr>
        <w:t>Decisions, actions, and follow-up</w:t>
      </w:r>
    </w:p>
    <w:p>
      <w:pPr/>
      <w:r>
        <w:rPr>
          <w:b/>
        </w:rPr>
        <w:t>Date and time:</w:t>
      </w:r>
      <w:r>
        <w:t xml:space="preserve"> August 25, 2026 | 10:00 to 11:00 a.m. PT</w:t>
      </w:r>
    </w:p>
    <w:p>
      <w:pPr/>
      <w:r>
        <w:rPr>
          <w:b/>
        </w:rPr>
        <w:t>Location:</w:t>
      </w:r>
      <w:r>
        <w:t xml:space="preserve"> Video conference | Operations room</w:t>
      </w:r>
    </w:p>
    <w:p>
      <w:pPr/>
      <w:r>
        <w:rPr>
          <w:b/>
        </w:rPr>
        <w:t>Facilitator:</w:t>
      </w:r>
      <w:r>
        <w:t xml:space="preserve"> Jordan Lee, Chief Operating Officer</w:t>
      </w:r>
    </w:p>
    <w:p>
      <w:pPr/>
      <w:r>
        <w:rPr>
          <w:b/>
        </w:rPr>
        <w:t>Minutes prepared by:</w:t>
      </w:r>
      <w:r>
        <w:t xml:space="preserve"> Morgan Chen, Program Operations</w:t>
      </w:r>
    </w:p>
    <w:p>
      <w:pPr>
        <w:pStyle w:val="Quote"/>
        <w:spacing w:before="120" w:after="180"/>
        <w:shd w:fill="E8F2F1"/>
        <w:pBdr>
          <w:left w:val="single" w:sz="18" w:space="8" w:color="2D6A6F"/>
        </w:pBdr>
      </w:pPr>
      <w:r>
        <w:rPr>
          <w:rFonts w:ascii="Calibri" w:hAnsi="Calibri"/>
          <w:b/>
          <w:color w:val="173F43"/>
          <w:sz w:val="22"/>
        </w:rPr>
        <w:t xml:space="preserve">Meeting outcome: </w:t>
      </w:r>
      <w:r>
        <w:rPr>
          <w:rFonts w:ascii="Calibri" w:hAnsi="Calibri"/>
          <w:color w:val="173F43"/>
          <w:sz w:val="22"/>
        </w:rPr>
        <w:t>The team approved the September pilot, assigned owners for the remaining readiness work, and scheduled one final decision review before launch.</w:t>
      </w:r>
    </w:p>
    <w:p>
      <w:pPr>
        <w:pStyle w:val="Heading1"/>
      </w:pPr>
      <w:r>
        <w:t>Attendees</w:t>
      </w:r>
    </w:p>
    <w:tbl>
      <w:tblPr>
        <w:tblStyle w:val="TableGrid"/>
        <w:tblW w:type="dxa" w:w="9360"/>
        <w:tblLayout w:type="fixed"/>
        <w:tblLook w:firstColumn="1" w:firstRow="1" w:lastColumn="0" w:lastRow="0" w:noHBand="0" w:noVBand="1" w:val="04A0"/>
        <w:tblInd w:w="120" w:type="dxa"/>
      </w:tblPr>
      <w:tblGrid>
        <w:gridCol w:w="3000"/>
        <w:gridCol w:w="4260"/>
        <w:gridCol w:w="2100"/>
      </w:tblGrid>
      <w:tr>
        <w:trPr>
          <w:tblHeader w:val="true"/>
        </w:trPr>
        <w:tc>
          <w:tcPr>
            <w:tcW w:type="dxa" w:w="3000"/>
            <w:shd w:fill="173F43"/>
            <w:vAlign w:val="center"/>
            <w:tcMar>
              <w:top w:w="70" w:type="dxa"/>
              <w:bottom w:w="70" w:type="dxa"/>
              <w:start w:w="120" w:type="dxa"/>
              <w:end w:w="120" w:type="dxa"/>
            </w:tcMar>
          </w:tcPr>
          <w:p>
            <w:pPr>
              <w:spacing w:after="0"/>
              <w:jc w:val="left"/>
            </w:pPr>
            <w:r/>
            <w:r>
              <w:rPr>
                <w:rFonts w:ascii="Calibri" w:hAnsi="Calibri"/>
                <w:b/>
                <w:color w:val="FFFFFF"/>
                <w:sz w:val="19"/>
              </w:rPr>
              <w:t>Name</w:t>
            </w:r>
          </w:p>
        </w:tc>
        <w:tc>
          <w:tcPr>
            <w:tcW w:type="dxa" w:w="4260"/>
            <w:shd w:fill="173F43"/>
            <w:vAlign w:val="center"/>
            <w:tcMar>
              <w:top w:w="70" w:type="dxa"/>
              <w:bottom w:w="70" w:type="dxa"/>
              <w:start w:w="120" w:type="dxa"/>
              <w:end w:w="120" w:type="dxa"/>
            </w:tcMar>
          </w:tcPr>
          <w:p>
            <w:pPr>
              <w:spacing w:after="0"/>
              <w:jc w:val="left"/>
            </w:pPr>
            <w:r/>
            <w:r>
              <w:rPr>
                <w:rFonts w:ascii="Calibri" w:hAnsi="Calibri"/>
                <w:b/>
                <w:color w:val="FFFFFF"/>
                <w:sz w:val="19"/>
              </w:rPr>
              <w:t>Role</w:t>
            </w:r>
          </w:p>
        </w:tc>
        <w:tc>
          <w:tcPr>
            <w:tcW w:type="dxa" w:w="2100"/>
            <w:shd w:fill="173F43"/>
            <w:vAlign w:val="center"/>
            <w:tcMar>
              <w:top w:w="70" w:type="dxa"/>
              <w:bottom w:w="70" w:type="dxa"/>
              <w:start w:w="120" w:type="dxa"/>
              <w:end w:w="120" w:type="dxa"/>
            </w:tcMar>
          </w:tcPr>
          <w:p>
            <w:pPr>
              <w:spacing w:after="0"/>
              <w:jc w:val="center"/>
            </w:pPr>
            <w:r/>
            <w:r>
              <w:rPr>
                <w:rFonts w:ascii="Calibri" w:hAnsi="Calibri"/>
                <w:b/>
                <w:color w:val="FFFFFF"/>
                <w:sz w:val="19"/>
              </w:rPr>
              <w:t>Attendance</w:t>
            </w:r>
          </w:p>
        </w:tc>
      </w:tr>
      <w:tr>
        <w:trPr>
          <w:cantSplit/>
        </w:trPr>
        <w:tc>
          <w:tcPr>
            <w:tcW w:type="dxa" w:w="30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Jordan Lee</w:t>
            </w:r>
          </w:p>
        </w:tc>
        <w:tc>
          <w:tcPr>
            <w:tcW w:type="dxa" w:w="426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Executive sponsor</w:t>
            </w:r>
          </w:p>
        </w:tc>
        <w:tc>
          <w:tcPr>
            <w:tcW w:type="dxa" w:w="2100"/>
            <w:vAlign w:val="center"/>
            <w:tcMar>
              <w:top w:w="70" w:type="dxa"/>
              <w:bottom w:w="70" w:type="dxa"/>
              <w:start w:w="120" w:type="dxa"/>
              <w:end w:w="120" w:type="dxa"/>
            </w:tcMar>
          </w:tcPr>
          <w:p>
            <w:pPr>
              <w:spacing w:before="0" w:after="0" w:line="259" w:lineRule="auto"/>
              <w:jc w:val="center"/>
            </w:pPr>
            <w:r/>
            <w:r>
              <w:rPr>
                <w:rFonts w:ascii="Calibri" w:hAnsi="Calibri"/>
                <w:color w:val="17211B"/>
                <w:sz w:val="19"/>
              </w:rPr>
              <w:t>Present</w:t>
            </w:r>
          </w:p>
        </w:tc>
      </w:tr>
      <w:tr>
        <w:trPr>
          <w:cantSplit/>
        </w:trPr>
        <w:tc>
          <w:tcPr>
            <w:tcW w:type="dxa" w:w="3000"/>
            <w:shd w:fill="E8F2F1"/>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Morgan Chen</w:t>
            </w:r>
          </w:p>
        </w:tc>
        <w:tc>
          <w:tcPr>
            <w:tcW w:type="dxa" w:w="4260"/>
            <w:shd w:fill="E8F2F1"/>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Program lead</w:t>
            </w:r>
          </w:p>
        </w:tc>
        <w:tc>
          <w:tcPr>
            <w:tcW w:type="dxa" w:w="2100"/>
            <w:shd w:fill="E8F2F1"/>
            <w:vAlign w:val="center"/>
            <w:tcMar>
              <w:top w:w="70" w:type="dxa"/>
              <w:bottom w:w="70" w:type="dxa"/>
              <w:start w:w="120" w:type="dxa"/>
              <w:end w:w="120" w:type="dxa"/>
            </w:tcMar>
          </w:tcPr>
          <w:p>
            <w:pPr>
              <w:spacing w:before="0" w:after="0" w:line="259" w:lineRule="auto"/>
              <w:jc w:val="center"/>
            </w:pPr>
            <w:r/>
            <w:r>
              <w:rPr>
                <w:rFonts w:ascii="Calibri" w:hAnsi="Calibri"/>
                <w:color w:val="17211B"/>
                <w:sz w:val="19"/>
              </w:rPr>
              <w:t>Present</w:t>
            </w:r>
          </w:p>
        </w:tc>
      </w:tr>
      <w:tr>
        <w:trPr>
          <w:cantSplit/>
        </w:trPr>
        <w:tc>
          <w:tcPr>
            <w:tcW w:type="dxa" w:w="30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Riley Shah</w:t>
            </w:r>
          </w:p>
        </w:tc>
        <w:tc>
          <w:tcPr>
            <w:tcW w:type="dxa" w:w="426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Operations lead</w:t>
            </w:r>
          </w:p>
        </w:tc>
        <w:tc>
          <w:tcPr>
            <w:tcW w:type="dxa" w:w="2100"/>
            <w:vAlign w:val="center"/>
            <w:tcMar>
              <w:top w:w="70" w:type="dxa"/>
              <w:bottom w:w="70" w:type="dxa"/>
              <w:start w:w="120" w:type="dxa"/>
              <w:end w:w="120" w:type="dxa"/>
            </w:tcMar>
          </w:tcPr>
          <w:p>
            <w:pPr>
              <w:spacing w:before="0" w:after="0" w:line="259" w:lineRule="auto"/>
              <w:jc w:val="center"/>
            </w:pPr>
            <w:r/>
            <w:r>
              <w:rPr>
                <w:rFonts w:ascii="Calibri" w:hAnsi="Calibri"/>
                <w:color w:val="17211B"/>
                <w:sz w:val="19"/>
              </w:rPr>
              <w:t>Present</w:t>
            </w:r>
          </w:p>
        </w:tc>
      </w:tr>
      <w:tr>
        <w:trPr>
          <w:cantSplit/>
        </w:trPr>
        <w:tc>
          <w:tcPr>
            <w:tcW w:type="dxa" w:w="3000"/>
            <w:shd w:fill="E8F2F1"/>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Taylor Brooks</w:t>
            </w:r>
          </w:p>
        </w:tc>
        <w:tc>
          <w:tcPr>
            <w:tcW w:type="dxa" w:w="4260"/>
            <w:shd w:fill="E8F2F1"/>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Finance partner</w:t>
            </w:r>
          </w:p>
        </w:tc>
        <w:tc>
          <w:tcPr>
            <w:tcW w:type="dxa" w:w="2100"/>
            <w:shd w:fill="E8F2F1"/>
            <w:vAlign w:val="center"/>
            <w:tcMar>
              <w:top w:w="70" w:type="dxa"/>
              <w:bottom w:w="70" w:type="dxa"/>
              <w:start w:w="120" w:type="dxa"/>
              <w:end w:w="120" w:type="dxa"/>
            </w:tcMar>
          </w:tcPr>
          <w:p>
            <w:pPr>
              <w:spacing w:before="0" w:after="0" w:line="259" w:lineRule="auto"/>
              <w:jc w:val="center"/>
            </w:pPr>
            <w:r/>
            <w:r>
              <w:rPr>
                <w:rFonts w:ascii="Calibri" w:hAnsi="Calibri"/>
                <w:color w:val="17211B"/>
                <w:sz w:val="19"/>
              </w:rPr>
              <w:t>Apologies</w:t>
            </w:r>
          </w:p>
        </w:tc>
      </w:tr>
    </w:tbl>
    <w:p>
      <w:pPr>
        <w:spacing w:after="60"/>
      </w:pPr>
    </w:p>
    <w:p>
      <w:pPr>
        <w:pStyle w:val="Heading1"/>
      </w:pPr>
      <w:r>
        <w:t>Agenda</w:t>
      </w:r>
    </w:p>
    <w:p>
      <w:pPr>
        <w:pStyle w:val="ListParagraph"/>
        <w:numPr>
          <w:ilvl w:val="0"/>
          <w:numId w:val="12"/>
        </w:numPr>
      </w:pPr>
      <w:r>
        <w:t>Confirm pilot readiness and unresolved dependencies.</w:t>
      </w:r>
    </w:p>
    <w:p>
      <w:pPr>
        <w:pStyle w:val="ListParagraph"/>
        <w:numPr>
          <w:ilvl w:val="0"/>
          <w:numId w:val="12"/>
        </w:numPr>
      </w:pPr>
      <w:r>
        <w:t>Approve launch decisions and assign action owners.</w:t>
      </w:r>
    </w:p>
    <w:p>
      <w:pPr>
        <w:pStyle w:val="ListParagraph"/>
        <w:numPr>
          <w:ilvl w:val="0"/>
          <w:numId w:val="12"/>
        </w:numPr>
      </w:pPr>
      <w:r>
        <w:t>Set the final review date and distribution list.</w:t>
      </w:r>
    </w:p>
    <w:p>
      <w:pPr>
        <w:pStyle w:val="Heading1"/>
      </w:pPr>
      <w:r>
        <w:t>Discussion summary</w:t>
      </w:r>
    </w:p>
    <w:p>
      <w:pPr>
        <w:pStyle w:val="Heading2"/>
      </w:pPr>
      <w:r>
        <w:t>Pilot readiness</w:t>
      </w:r>
    </w:p>
    <w:p>
      <w:pPr/>
      <w:r>
        <w:t>Configuration and training materials are ready for the pilot group. The remaining dependency is final access approval for two regional supervisors. Operations will use the current escalation path if approval is delayed beyond August 28.</w:t>
      </w:r>
    </w:p>
    <w:p>
      <w:pPr>
        <w:pStyle w:val="Heading2"/>
      </w:pPr>
      <w:r>
        <w:t>Measurement and reporting</w:t>
      </w:r>
    </w:p>
    <w:p>
      <w:pPr/>
      <w:r>
        <w:t>The team agreed to track completion rate, exception volume, average handling time, and user feedback during the first two weeks. Program Operations will publish a concise daily readout during the pilot and a weekly summary for sponsors.</w:t>
      </w:r>
    </w:p>
    <w:p>
      <w:pPr>
        <w:pStyle w:val="Heading1"/>
      </w:pPr>
      <w:r>
        <w:t>Decisions</w:t>
      </w:r>
    </w:p>
    <w:tbl>
      <w:tblPr>
        <w:tblStyle w:val="TableGrid"/>
        <w:tblW w:type="dxa" w:w="9360"/>
        <w:tblLayout w:type="fixed"/>
        <w:tblLook w:firstColumn="1" w:firstRow="1" w:lastColumn="0" w:lastRow="0" w:noHBand="0" w:noVBand="1" w:val="04A0"/>
        <w:tblInd w:w="120" w:type="dxa"/>
      </w:tblPr>
      <w:tblGrid>
        <w:gridCol w:w="1000"/>
        <w:gridCol w:w="4680"/>
        <w:gridCol w:w="2000"/>
        <w:gridCol w:w="1680"/>
      </w:tblGrid>
      <w:tr>
        <w:trPr>
          <w:tblHeader w:val="true"/>
        </w:trPr>
        <w:tc>
          <w:tcPr>
            <w:tcW w:type="dxa" w:w="1000"/>
            <w:shd w:fill="173F43"/>
            <w:vAlign w:val="center"/>
            <w:tcMar>
              <w:top w:w="70" w:type="dxa"/>
              <w:bottom w:w="70" w:type="dxa"/>
              <w:start w:w="120" w:type="dxa"/>
              <w:end w:w="120" w:type="dxa"/>
            </w:tcMar>
          </w:tcPr>
          <w:p>
            <w:pPr>
              <w:spacing w:after="0"/>
              <w:jc w:val="center"/>
            </w:pPr>
            <w:r/>
            <w:r>
              <w:rPr>
                <w:rFonts w:ascii="Calibri" w:hAnsi="Calibri"/>
                <w:b/>
                <w:color w:val="FFFFFF"/>
                <w:sz w:val="19"/>
              </w:rPr>
              <w:t>ID</w:t>
            </w:r>
          </w:p>
        </w:tc>
        <w:tc>
          <w:tcPr>
            <w:tcW w:type="dxa" w:w="4680"/>
            <w:shd w:fill="173F43"/>
            <w:vAlign w:val="center"/>
            <w:tcMar>
              <w:top w:w="70" w:type="dxa"/>
              <w:bottom w:w="70" w:type="dxa"/>
              <w:start w:w="120" w:type="dxa"/>
              <w:end w:w="120" w:type="dxa"/>
            </w:tcMar>
          </w:tcPr>
          <w:p>
            <w:pPr>
              <w:spacing w:after="0"/>
              <w:jc w:val="left"/>
            </w:pPr>
            <w:r/>
            <w:r>
              <w:rPr>
                <w:rFonts w:ascii="Calibri" w:hAnsi="Calibri"/>
                <w:b/>
                <w:color w:val="FFFFFF"/>
                <w:sz w:val="19"/>
              </w:rPr>
              <w:t>Decision</w:t>
            </w:r>
          </w:p>
        </w:tc>
        <w:tc>
          <w:tcPr>
            <w:tcW w:type="dxa" w:w="2000"/>
            <w:shd w:fill="173F43"/>
            <w:vAlign w:val="center"/>
            <w:tcMar>
              <w:top w:w="70" w:type="dxa"/>
              <w:bottom w:w="70" w:type="dxa"/>
              <w:start w:w="120" w:type="dxa"/>
              <w:end w:w="120" w:type="dxa"/>
            </w:tcMar>
          </w:tcPr>
          <w:p>
            <w:pPr>
              <w:spacing w:after="0"/>
              <w:jc w:val="left"/>
            </w:pPr>
            <w:r/>
            <w:r>
              <w:rPr>
                <w:rFonts w:ascii="Calibri" w:hAnsi="Calibri"/>
                <w:b/>
                <w:color w:val="FFFFFF"/>
                <w:sz w:val="19"/>
              </w:rPr>
              <w:t>Owner</w:t>
            </w:r>
          </w:p>
        </w:tc>
        <w:tc>
          <w:tcPr>
            <w:tcW w:type="dxa" w:w="1680"/>
            <w:shd w:fill="173F43"/>
            <w:vAlign w:val="center"/>
            <w:tcMar>
              <w:top w:w="70" w:type="dxa"/>
              <w:bottom w:w="70" w:type="dxa"/>
              <w:start w:w="120" w:type="dxa"/>
              <w:end w:w="120" w:type="dxa"/>
            </w:tcMar>
          </w:tcPr>
          <w:p>
            <w:pPr>
              <w:spacing w:after="0"/>
              <w:jc w:val="center"/>
            </w:pPr>
            <w:r/>
            <w:r>
              <w:rPr>
                <w:rFonts w:ascii="Calibri" w:hAnsi="Calibri"/>
                <w:b/>
                <w:color w:val="FFFFFF"/>
                <w:sz w:val="19"/>
              </w:rPr>
              <w:t>Effective</w:t>
            </w:r>
          </w:p>
        </w:tc>
      </w:tr>
      <w:tr>
        <w:trPr>
          <w:cantSplit/>
        </w:trPr>
        <w:tc>
          <w:tcPr>
            <w:tcW w:type="dxa" w:w="1000"/>
            <w:vAlign w:val="center"/>
            <w:tcMar>
              <w:top w:w="70" w:type="dxa"/>
              <w:bottom w:w="70" w:type="dxa"/>
              <w:start w:w="120" w:type="dxa"/>
              <w:end w:w="120" w:type="dxa"/>
            </w:tcMar>
          </w:tcPr>
          <w:p>
            <w:pPr>
              <w:spacing w:before="0" w:after="0" w:line="259" w:lineRule="auto"/>
              <w:jc w:val="center"/>
            </w:pPr>
            <w:r/>
            <w:r>
              <w:rPr>
                <w:rFonts w:ascii="Calibri" w:hAnsi="Calibri"/>
                <w:color w:val="17211B"/>
                <w:sz w:val="19"/>
              </w:rPr>
              <w:t>D-01</w:t>
            </w:r>
          </w:p>
        </w:tc>
        <w:tc>
          <w:tcPr>
            <w:tcW w:type="dxa" w:w="468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Proceed with the September 2 pilot for the approved user group</w:t>
            </w:r>
          </w:p>
        </w:tc>
        <w:tc>
          <w:tcPr>
            <w:tcW w:type="dxa" w:w="20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Jordan Lee</w:t>
            </w:r>
          </w:p>
        </w:tc>
        <w:tc>
          <w:tcPr>
            <w:tcW w:type="dxa" w:w="1680"/>
            <w:vAlign w:val="center"/>
            <w:tcMar>
              <w:top w:w="70" w:type="dxa"/>
              <w:bottom w:w="70" w:type="dxa"/>
              <w:start w:w="120" w:type="dxa"/>
              <w:end w:w="120" w:type="dxa"/>
            </w:tcMar>
          </w:tcPr>
          <w:p>
            <w:pPr>
              <w:spacing w:before="0" w:after="0" w:line="259" w:lineRule="auto"/>
              <w:jc w:val="center"/>
            </w:pPr>
            <w:r/>
            <w:r>
              <w:rPr>
                <w:rFonts w:ascii="Calibri" w:hAnsi="Calibri"/>
                <w:color w:val="17211B"/>
                <w:sz w:val="19"/>
              </w:rPr>
              <w:t>Approved</w:t>
            </w:r>
          </w:p>
        </w:tc>
      </w:tr>
      <w:tr>
        <w:trPr>
          <w:cantSplit/>
        </w:trPr>
        <w:tc>
          <w:tcPr>
            <w:tcW w:type="dxa" w:w="1000"/>
            <w:shd w:fill="E8F2F1"/>
            <w:vAlign w:val="center"/>
            <w:tcMar>
              <w:top w:w="70" w:type="dxa"/>
              <w:bottom w:w="70" w:type="dxa"/>
              <w:start w:w="120" w:type="dxa"/>
              <w:end w:w="120" w:type="dxa"/>
            </w:tcMar>
          </w:tcPr>
          <w:p>
            <w:pPr>
              <w:spacing w:before="0" w:after="0" w:line="259" w:lineRule="auto"/>
              <w:jc w:val="center"/>
            </w:pPr>
            <w:r/>
            <w:r>
              <w:rPr>
                <w:rFonts w:ascii="Calibri" w:hAnsi="Calibri"/>
                <w:color w:val="17211B"/>
                <w:sz w:val="19"/>
              </w:rPr>
              <w:t>D-02</w:t>
            </w:r>
          </w:p>
        </w:tc>
        <w:tc>
          <w:tcPr>
            <w:tcW w:type="dxa" w:w="4680"/>
            <w:shd w:fill="E8F2F1"/>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Use daily readiness reviews during the first pilot week</w:t>
            </w:r>
          </w:p>
        </w:tc>
        <w:tc>
          <w:tcPr>
            <w:tcW w:type="dxa" w:w="2000"/>
            <w:shd w:fill="E8F2F1"/>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Morgan Chen</w:t>
            </w:r>
          </w:p>
        </w:tc>
        <w:tc>
          <w:tcPr>
            <w:tcW w:type="dxa" w:w="1680"/>
            <w:shd w:fill="E8F2F1"/>
            <w:vAlign w:val="center"/>
            <w:tcMar>
              <w:top w:w="70" w:type="dxa"/>
              <w:bottom w:w="70" w:type="dxa"/>
              <w:start w:w="120" w:type="dxa"/>
              <w:end w:w="120" w:type="dxa"/>
            </w:tcMar>
          </w:tcPr>
          <w:p>
            <w:pPr>
              <w:spacing w:before="0" w:after="0" w:line="259" w:lineRule="auto"/>
              <w:jc w:val="center"/>
            </w:pPr>
            <w:r/>
            <w:r>
              <w:rPr>
                <w:rFonts w:ascii="Calibri" w:hAnsi="Calibri"/>
                <w:color w:val="17211B"/>
                <w:sz w:val="19"/>
              </w:rPr>
              <w:t>Sep. 2</w:t>
            </w:r>
          </w:p>
        </w:tc>
      </w:tr>
      <w:tr>
        <w:trPr>
          <w:cantSplit/>
        </w:trPr>
        <w:tc>
          <w:tcPr>
            <w:tcW w:type="dxa" w:w="1000"/>
            <w:vAlign w:val="center"/>
            <w:tcMar>
              <w:top w:w="70" w:type="dxa"/>
              <w:bottom w:w="70" w:type="dxa"/>
              <w:start w:w="120" w:type="dxa"/>
              <w:end w:w="120" w:type="dxa"/>
            </w:tcMar>
          </w:tcPr>
          <w:p>
            <w:pPr>
              <w:spacing w:before="0" w:after="0" w:line="259" w:lineRule="auto"/>
              <w:jc w:val="center"/>
            </w:pPr>
            <w:r/>
            <w:r>
              <w:rPr>
                <w:rFonts w:ascii="Calibri" w:hAnsi="Calibri"/>
                <w:color w:val="17211B"/>
                <w:sz w:val="19"/>
              </w:rPr>
              <w:t>D-03</w:t>
            </w:r>
          </w:p>
        </w:tc>
        <w:tc>
          <w:tcPr>
            <w:tcW w:type="dxa" w:w="468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Escalate unresolved access requests after two business days</w:t>
            </w:r>
          </w:p>
        </w:tc>
        <w:tc>
          <w:tcPr>
            <w:tcW w:type="dxa" w:w="20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Riley Shah</w:t>
            </w:r>
          </w:p>
        </w:tc>
        <w:tc>
          <w:tcPr>
            <w:tcW w:type="dxa" w:w="1680"/>
            <w:vAlign w:val="center"/>
            <w:tcMar>
              <w:top w:w="70" w:type="dxa"/>
              <w:bottom w:w="70" w:type="dxa"/>
              <w:start w:w="120" w:type="dxa"/>
              <w:end w:w="120" w:type="dxa"/>
            </w:tcMar>
          </w:tcPr>
          <w:p>
            <w:pPr>
              <w:spacing w:before="0" w:after="0" w:line="259" w:lineRule="auto"/>
              <w:jc w:val="center"/>
            </w:pPr>
            <w:r/>
            <w:r>
              <w:rPr>
                <w:rFonts w:ascii="Calibri" w:hAnsi="Calibri"/>
                <w:color w:val="17211B"/>
                <w:sz w:val="19"/>
              </w:rPr>
              <w:t>Immediately</w:t>
            </w:r>
          </w:p>
        </w:tc>
      </w:tr>
    </w:tbl>
    <w:p>
      <w:pPr>
        <w:spacing w:after="60"/>
      </w:pPr>
    </w:p>
    <w:p>
      <w:pPr>
        <w:pStyle w:val="Heading1"/>
      </w:pPr>
      <w:r>
        <w:t>Action items</w:t>
      </w:r>
    </w:p>
    <w:tbl>
      <w:tblPr>
        <w:tblStyle w:val="TableGrid"/>
        <w:tblW w:type="dxa" w:w="9360"/>
        <w:tblLayout w:type="fixed"/>
        <w:tblLook w:firstColumn="1" w:firstRow="1" w:lastColumn="0" w:lastRow="0" w:noHBand="0" w:noVBand="1" w:val="04A0"/>
        <w:tblInd w:w="120" w:type="dxa"/>
      </w:tblPr>
      <w:tblGrid>
        <w:gridCol w:w="4200"/>
        <w:gridCol w:w="2100"/>
        <w:gridCol w:w="1400"/>
        <w:gridCol w:w="1660"/>
      </w:tblGrid>
      <w:tr>
        <w:trPr>
          <w:tblHeader w:val="true"/>
        </w:trPr>
        <w:tc>
          <w:tcPr>
            <w:tcW w:type="dxa" w:w="4200"/>
            <w:shd w:fill="173F43"/>
            <w:vAlign w:val="center"/>
            <w:tcMar>
              <w:top w:w="70" w:type="dxa"/>
              <w:bottom w:w="70" w:type="dxa"/>
              <w:start w:w="120" w:type="dxa"/>
              <w:end w:w="120" w:type="dxa"/>
            </w:tcMar>
          </w:tcPr>
          <w:p>
            <w:pPr>
              <w:spacing w:after="0"/>
              <w:jc w:val="left"/>
            </w:pPr>
            <w:r/>
            <w:r>
              <w:rPr>
                <w:rFonts w:ascii="Calibri" w:hAnsi="Calibri"/>
                <w:b/>
                <w:color w:val="FFFFFF"/>
                <w:sz w:val="19"/>
              </w:rPr>
              <w:t>Action</w:t>
            </w:r>
          </w:p>
        </w:tc>
        <w:tc>
          <w:tcPr>
            <w:tcW w:type="dxa" w:w="2100"/>
            <w:shd w:fill="173F43"/>
            <w:vAlign w:val="center"/>
            <w:tcMar>
              <w:top w:w="70" w:type="dxa"/>
              <w:bottom w:w="70" w:type="dxa"/>
              <w:start w:w="120" w:type="dxa"/>
              <w:end w:w="120" w:type="dxa"/>
            </w:tcMar>
          </w:tcPr>
          <w:p>
            <w:pPr>
              <w:spacing w:after="0"/>
              <w:jc w:val="left"/>
            </w:pPr>
            <w:r/>
            <w:r>
              <w:rPr>
                <w:rFonts w:ascii="Calibri" w:hAnsi="Calibri"/>
                <w:b/>
                <w:color w:val="FFFFFF"/>
                <w:sz w:val="19"/>
              </w:rPr>
              <w:t>Owner</w:t>
            </w:r>
          </w:p>
        </w:tc>
        <w:tc>
          <w:tcPr>
            <w:tcW w:type="dxa" w:w="1400"/>
            <w:shd w:fill="173F43"/>
            <w:vAlign w:val="center"/>
            <w:tcMar>
              <w:top w:w="70" w:type="dxa"/>
              <w:bottom w:w="70" w:type="dxa"/>
              <w:start w:w="120" w:type="dxa"/>
              <w:end w:w="120" w:type="dxa"/>
            </w:tcMar>
          </w:tcPr>
          <w:p>
            <w:pPr>
              <w:spacing w:after="0"/>
              <w:jc w:val="center"/>
            </w:pPr>
            <w:r/>
            <w:r>
              <w:rPr>
                <w:rFonts w:ascii="Calibri" w:hAnsi="Calibri"/>
                <w:b/>
                <w:color w:val="FFFFFF"/>
                <w:sz w:val="19"/>
              </w:rPr>
              <w:t>Due</w:t>
            </w:r>
          </w:p>
        </w:tc>
        <w:tc>
          <w:tcPr>
            <w:tcW w:type="dxa" w:w="1660"/>
            <w:shd w:fill="173F43"/>
            <w:vAlign w:val="center"/>
            <w:tcMar>
              <w:top w:w="70" w:type="dxa"/>
              <w:bottom w:w="70" w:type="dxa"/>
              <w:start w:w="120" w:type="dxa"/>
              <w:end w:w="120" w:type="dxa"/>
            </w:tcMar>
          </w:tcPr>
          <w:p>
            <w:pPr>
              <w:spacing w:after="0"/>
              <w:jc w:val="center"/>
            </w:pPr>
            <w:r/>
            <w:r>
              <w:rPr>
                <w:rFonts w:ascii="Calibri" w:hAnsi="Calibri"/>
                <w:b/>
                <w:color w:val="FFFFFF"/>
                <w:sz w:val="19"/>
              </w:rPr>
              <w:t>Status</w:t>
            </w:r>
          </w:p>
        </w:tc>
      </w:tr>
      <w:tr>
        <w:trPr>
          <w:cantSplit/>
        </w:trPr>
        <w:tc>
          <w:tcPr>
            <w:tcW w:type="dxa" w:w="42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Secure access approval for the two regional supervisors</w:t>
            </w:r>
          </w:p>
        </w:tc>
        <w:tc>
          <w:tcPr>
            <w:tcW w:type="dxa" w:w="21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Riley Shah</w:t>
            </w:r>
          </w:p>
        </w:tc>
        <w:tc>
          <w:tcPr>
            <w:tcW w:type="dxa" w:w="1400"/>
            <w:vAlign w:val="center"/>
            <w:tcMar>
              <w:top w:w="70" w:type="dxa"/>
              <w:bottom w:w="70" w:type="dxa"/>
              <w:start w:w="120" w:type="dxa"/>
              <w:end w:w="120" w:type="dxa"/>
            </w:tcMar>
          </w:tcPr>
          <w:p>
            <w:pPr>
              <w:spacing w:before="0" w:after="0" w:line="259" w:lineRule="auto"/>
              <w:jc w:val="center"/>
            </w:pPr>
            <w:r/>
            <w:r>
              <w:rPr>
                <w:rFonts w:ascii="Calibri" w:hAnsi="Calibri"/>
                <w:color w:val="17211B"/>
                <w:sz w:val="19"/>
              </w:rPr>
              <w:t>Aug. 28</w:t>
            </w:r>
          </w:p>
        </w:tc>
        <w:tc>
          <w:tcPr>
            <w:tcW w:type="dxa" w:w="1660"/>
            <w:vAlign w:val="center"/>
            <w:tcMar>
              <w:top w:w="70" w:type="dxa"/>
              <w:bottom w:w="70" w:type="dxa"/>
              <w:start w:w="120" w:type="dxa"/>
              <w:end w:w="120" w:type="dxa"/>
            </w:tcMar>
          </w:tcPr>
          <w:p>
            <w:pPr>
              <w:spacing w:before="0" w:after="0" w:line="259" w:lineRule="auto"/>
              <w:jc w:val="center"/>
            </w:pPr>
            <w:r/>
            <w:r>
              <w:rPr>
                <w:rFonts w:ascii="Calibri" w:hAnsi="Calibri"/>
                <w:color w:val="17211B"/>
                <w:sz w:val="19"/>
              </w:rPr>
              <w:t>In progress</w:t>
            </w:r>
          </w:p>
        </w:tc>
      </w:tr>
      <w:tr>
        <w:trPr>
          <w:cantSplit/>
        </w:trPr>
        <w:tc>
          <w:tcPr>
            <w:tcW w:type="dxa" w:w="4200"/>
            <w:shd w:fill="E8F2F1"/>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Publish the pilot measurement dashboard and data definitions</w:t>
            </w:r>
          </w:p>
        </w:tc>
        <w:tc>
          <w:tcPr>
            <w:tcW w:type="dxa" w:w="2100"/>
            <w:shd w:fill="E8F2F1"/>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Morgan Chen</w:t>
            </w:r>
          </w:p>
        </w:tc>
        <w:tc>
          <w:tcPr>
            <w:tcW w:type="dxa" w:w="1400"/>
            <w:shd w:fill="E8F2F1"/>
            <w:vAlign w:val="center"/>
            <w:tcMar>
              <w:top w:w="70" w:type="dxa"/>
              <w:bottom w:w="70" w:type="dxa"/>
              <w:start w:w="120" w:type="dxa"/>
              <w:end w:w="120" w:type="dxa"/>
            </w:tcMar>
          </w:tcPr>
          <w:p>
            <w:pPr>
              <w:spacing w:before="0" w:after="0" w:line="259" w:lineRule="auto"/>
              <w:jc w:val="center"/>
            </w:pPr>
            <w:r/>
            <w:r>
              <w:rPr>
                <w:rFonts w:ascii="Calibri" w:hAnsi="Calibri"/>
                <w:color w:val="17211B"/>
                <w:sz w:val="19"/>
              </w:rPr>
              <w:t>Aug. 29</w:t>
            </w:r>
          </w:p>
        </w:tc>
        <w:tc>
          <w:tcPr>
            <w:tcW w:type="dxa" w:w="1660"/>
            <w:shd w:fill="E8F2F1"/>
            <w:vAlign w:val="center"/>
            <w:tcMar>
              <w:top w:w="70" w:type="dxa"/>
              <w:bottom w:w="70" w:type="dxa"/>
              <w:start w:w="120" w:type="dxa"/>
              <w:end w:w="120" w:type="dxa"/>
            </w:tcMar>
          </w:tcPr>
          <w:p>
            <w:pPr>
              <w:spacing w:before="0" w:after="0" w:line="259" w:lineRule="auto"/>
              <w:jc w:val="center"/>
            </w:pPr>
            <w:r/>
            <w:r>
              <w:rPr>
                <w:rFonts w:ascii="Calibri" w:hAnsi="Calibri"/>
                <w:color w:val="17211B"/>
                <w:sz w:val="19"/>
              </w:rPr>
              <w:t>Planned</w:t>
            </w:r>
          </w:p>
        </w:tc>
      </w:tr>
      <w:tr>
        <w:trPr>
          <w:cantSplit/>
        </w:trPr>
        <w:tc>
          <w:tcPr>
            <w:tcW w:type="dxa" w:w="42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Confirm the support rotation and escalation contacts</w:t>
            </w:r>
          </w:p>
        </w:tc>
        <w:tc>
          <w:tcPr>
            <w:tcW w:type="dxa" w:w="21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Jordan Lee</w:t>
            </w:r>
          </w:p>
        </w:tc>
        <w:tc>
          <w:tcPr>
            <w:tcW w:type="dxa" w:w="1400"/>
            <w:vAlign w:val="center"/>
            <w:tcMar>
              <w:top w:w="70" w:type="dxa"/>
              <w:bottom w:w="70" w:type="dxa"/>
              <w:start w:w="120" w:type="dxa"/>
              <w:end w:w="120" w:type="dxa"/>
            </w:tcMar>
          </w:tcPr>
          <w:p>
            <w:pPr>
              <w:spacing w:before="0" w:after="0" w:line="259" w:lineRule="auto"/>
              <w:jc w:val="center"/>
            </w:pPr>
            <w:r/>
            <w:r>
              <w:rPr>
                <w:rFonts w:ascii="Calibri" w:hAnsi="Calibri"/>
                <w:color w:val="17211B"/>
                <w:sz w:val="19"/>
              </w:rPr>
              <w:t>Aug. 30</w:t>
            </w:r>
          </w:p>
        </w:tc>
        <w:tc>
          <w:tcPr>
            <w:tcW w:type="dxa" w:w="1660"/>
            <w:vAlign w:val="center"/>
            <w:tcMar>
              <w:top w:w="70" w:type="dxa"/>
              <w:bottom w:w="70" w:type="dxa"/>
              <w:start w:w="120" w:type="dxa"/>
              <w:end w:w="120" w:type="dxa"/>
            </w:tcMar>
          </w:tcPr>
          <w:p>
            <w:pPr>
              <w:spacing w:before="0" w:after="0" w:line="259" w:lineRule="auto"/>
              <w:jc w:val="center"/>
            </w:pPr>
            <w:r/>
            <w:r>
              <w:rPr>
                <w:rFonts w:ascii="Calibri" w:hAnsi="Calibri"/>
                <w:color w:val="17211B"/>
                <w:sz w:val="19"/>
              </w:rPr>
              <w:t>Open</w:t>
            </w:r>
          </w:p>
        </w:tc>
      </w:tr>
    </w:tbl>
    <w:p>
      <w:pPr>
        <w:spacing w:after="60"/>
      </w:pPr>
    </w:p>
    <w:p>
      <w:pPr>
        <w:pStyle w:val="Heading1"/>
      </w:pPr>
      <w:r>
        <w:t>Open questions and parking lot</w:t>
      </w:r>
    </w:p>
    <w:tbl>
      <w:tblPr>
        <w:tblStyle w:val="TableGrid"/>
        <w:tblW w:type="dxa" w:w="9360"/>
        <w:tblLayout w:type="fixed"/>
        <w:tblLook w:firstColumn="1" w:firstRow="1" w:lastColumn="0" w:lastRow="0" w:noHBand="0" w:noVBand="1" w:val="04A0"/>
        <w:tblInd w:w="120" w:type="dxa"/>
      </w:tblPr>
      <w:tblGrid>
        <w:gridCol w:w="2700"/>
        <w:gridCol w:w="4340"/>
        <w:gridCol w:w="2320"/>
      </w:tblGrid>
      <w:tr>
        <w:trPr>
          <w:tblHeader w:val="true"/>
        </w:trPr>
        <w:tc>
          <w:tcPr>
            <w:tcW w:type="dxa" w:w="2700"/>
            <w:shd w:fill="173F43"/>
            <w:vAlign w:val="center"/>
            <w:tcMar>
              <w:top w:w="70" w:type="dxa"/>
              <w:bottom w:w="70" w:type="dxa"/>
              <w:start w:w="120" w:type="dxa"/>
              <w:end w:w="120" w:type="dxa"/>
            </w:tcMar>
          </w:tcPr>
          <w:p>
            <w:pPr>
              <w:spacing w:after="0"/>
              <w:jc w:val="left"/>
            </w:pPr>
            <w:r/>
            <w:r>
              <w:rPr>
                <w:rFonts w:ascii="Calibri" w:hAnsi="Calibri"/>
                <w:b/>
                <w:color w:val="FFFFFF"/>
                <w:sz w:val="19"/>
              </w:rPr>
              <w:t>Topic</w:t>
            </w:r>
          </w:p>
        </w:tc>
        <w:tc>
          <w:tcPr>
            <w:tcW w:type="dxa" w:w="4340"/>
            <w:shd w:fill="173F43"/>
            <w:vAlign w:val="center"/>
            <w:tcMar>
              <w:top w:w="70" w:type="dxa"/>
              <w:bottom w:w="70" w:type="dxa"/>
              <w:start w:w="120" w:type="dxa"/>
              <w:end w:w="120" w:type="dxa"/>
            </w:tcMar>
          </w:tcPr>
          <w:p>
            <w:pPr>
              <w:spacing w:after="0"/>
              <w:jc w:val="left"/>
            </w:pPr>
            <w:r/>
            <w:r>
              <w:rPr>
                <w:rFonts w:ascii="Calibri" w:hAnsi="Calibri"/>
                <w:b/>
                <w:color w:val="FFFFFF"/>
                <w:sz w:val="19"/>
              </w:rPr>
              <w:t>Follow-up</w:t>
            </w:r>
          </w:p>
        </w:tc>
        <w:tc>
          <w:tcPr>
            <w:tcW w:type="dxa" w:w="2320"/>
            <w:shd w:fill="173F43"/>
            <w:vAlign w:val="center"/>
            <w:tcMar>
              <w:top w:w="70" w:type="dxa"/>
              <w:bottom w:w="70" w:type="dxa"/>
              <w:start w:w="120" w:type="dxa"/>
              <w:end w:w="120" w:type="dxa"/>
            </w:tcMar>
          </w:tcPr>
          <w:p>
            <w:pPr>
              <w:spacing w:after="0"/>
              <w:jc w:val="left"/>
            </w:pPr>
            <w:r/>
            <w:r>
              <w:rPr>
                <w:rFonts w:ascii="Calibri" w:hAnsi="Calibri"/>
                <w:b/>
                <w:color w:val="FFFFFF"/>
                <w:sz w:val="19"/>
              </w:rPr>
              <w:t>Owner</w:t>
            </w:r>
          </w:p>
        </w:tc>
      </w:tr>
      <w:tr>
        <w:trPr>
          <w:cantSplit/>
        </w:trPr>
        <w:tc>
          <w:tcPr>
            <w:tcW w:type="dxa" w:w="27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Post-pilot rollout sequence</w:t>
            </w:r>
          </w:p>
        </w:tc>
        <w:tc>
          <w:tcPr>
            <w:tcW w:type="dxa" w:w="434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Return with options after the first two weeks of evidence</w:t>
            </w:r>
          </w:p>
        </w:tc>
        <w:tc>
          <w:tcPr>
            <w:tcW w:type="dxa" w:w="232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Program lead</w:t>
            </w:r>
          </w:p>
        </w:tc>
      </w:tr>
      <w:tr>
        <w:trPr>
          <w:cantSplit/>
        </w:trPr>
        <w:tc>
          <w:tcPr>
            <w:tcW w:type="dxa" w:w="2700"/>
            <w:shd w:fill="E8F2F1"/>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Long-term dashboard ownership</w:t>
            </w:r>
          </w:p>
        </w:tc>
        <w:tc>
          <w:tcPr>
            <w:tcW w:type="dxa" w:w="4340"/>
            <w:shd w:fill="E8F2F1"/>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Confirm the operating owner before production rollout</w:t>
            </w:r>
          </w:p>
        </w:tc>
        <w:tc>
          <w:tcPr>
            <w:tcW w:type="dxa" w:w="2320"/>
            <w:shd w:fill="E8F2F1"/>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Operations lead</w:t>
            </w:r>
          </w:p>
        </w:tc>
      </w:tr>
    </w:tbl>
    <w:p>
      <w:pPr>
        <w:spacing w:after="60"/>
      </w:pPr>
    </w:p>
    <w:p>
      <w:pPr>
        <w:pStyle w:val="Heading1"/>
      </w:pPr>
      <w:r>
        <w:t>Next meeting</w:t>
      </w:r>
    </w:p>
    <w:p>
      <w:pPr>
        <w:pStyle w:val="Quote"/>
        <w:spacing w:before="120" w:after="180"/>
        <w:shd w:fill="E8F2F1"/>
        <w:pBdr>
          <w:left w:val="single" w:sz="18" w:space="8" w:color="2D6A6F"/>
        </w:pBdr>
      </w:pPr>
      <w:r>
        <w:rPr>
          <w:rFonts w:ascii="Calibri" w:hAnsi="Calibri"/>
          <w:b/>
          <w:color w:val="173F43"/>
          <w:sz w:val="22"/>
        </w:rPr>
        <w:t xml:space="preserve">Final readiness review: </w:t>
      </w:r>
      <w:r>
        <w:rPr>
          <w:rFonts w:ascii="Calibri" w:hAnsi="Calibri"/>
          <w:color w:val="173F43"/>
          <w:sz w:val="22"/>
        </w:rPr>
        <w:t>Monday, August 31, 2026 at 2:00 p.m. PT. Required inputs: access approvals, dashboard link, support rotation, and participant briefing.</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s>
      <w:spacing w:before="0" w:after="0"/>
    </w:pPr>
    <w:r>
      <w:rPr>
        <w:rFonts w:ascii="Calibri" w:hAnsi="Calibri"/>
        <w:color w:val="59645D"/>
        <w:sz w:val="16"/>
      </w:rPr>
      <w:t>Free starter template | brandquill.app</w:t>
    </w:r>
    <w:r>
      <w:tab/>
    </w:r>
    <w:r>
      <w:rPr>
        <w:rFonts w:ascii="Calibri" w:hAnsi="Calibri"/>
        <w:color w:val="59645D"/>
        <w:sz w:val="16"/>
      </w:rPr>
      <w:t xml:space="preserve">Page </w:t>
    </w:r>
    <w:r>
      <w:rPr>
        <w:rFonts w:ascii="Calibri" w:hAnsi="Calibri"/>
        <w:color w:val="59645D"/>
        <w:sz w:val="16"/>
      </w:rPr>
      <w:fldChar w:fldCharType="begin"/>
      <w:instrText xml:space="preserve"> PAGE </w:instrText>
      <w:fldChar w:fldCharType="separate"/>
      <w:t>1</w:t>
      <w:fldChar w:fldCharType="end"/>
    </w:r>
    <w:r>
      <w:rPr>
        <w:rFonts w:ascii="Calibri" w:hAnsi="Calibri"/>
        <w:color w:val="59645D"/>
        <w:sz w:val="16"/>
      </w:rPr>
      <w:t xml:space="preserve"> of </w:t>
    </w:r>
    <w:r>
      <w:rPr>
        <w:rFonts w:ascii="Calibri" w:hAnsi="Calibri"/>
        <w:color w:val="59645D"/>
        <w:sz w:val="16"/>
      </w:rPr>
      <w:fldChar w:fldCharType="begin"/>
      <w:instrText xml:space="preserve"> NUMPAGES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0"/>
    </w:pPr>
    <w:r>
      <w:rPr>
        <w:rFonts w:ascii="Calibri" w:hAnsi="Calibri"/>
        <w:b/>
        <w:color w:val="2D6A6F"/>
        <w:sz w:val="16"/>
      </w:rPr>
      <w:t>BRANDQUILL</w:t>
    </w:r>
    <w:r>
      <w:tab/>
    </w:r>
    <w:r>
      <w:rPr>
        <w:rFonts w:ascii="Calibri" w:hAnsi="Calibri"/>
        <w:b/>
        <w:color w:val="59645D"/>
        <w:sz w:val="16"/>
      </w:rPr>
      <w:t>MEETING MINUTES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lvlJc w:val="left"/>
      <w:pPr>
        <w:tabs>
          <w:tab w:val="num" w:pos="720"/>
        </w:tabs>
        <w:ind w:left="720" w:hanging="360"/>
        <w:spacing w:after="120" w:line="280" w:lineRule="auto"/>
      </w:pPr>
      <w:rPr>
        <w:rFonts w:ascii="Calibri" w:hAnsi="Calibri"/>
      </w:rPr>
    </w:lvl>
  </w:abstractNum>
  <w:num w:numId="10">
    <w:abstractNumId w:val="9"/>
  </w:num>
  <w:abstractNum w:abstractNumId="10">
    <w:multiLevelType w:val="singleLevel"/>
    <w:lvl w:ilvl="0">
      <w:start w:val="1"/>
      <w:numFmt w:val="decimal"/>
      <w:lvlText w:val="%1."/>
      <w:suff w:val="tab"/>
      <w:lvlJc w:val="left"/>
      <w:pPr>
        <w:tabs>
          <w:tab w:val="num" w:pos="720"/>
        </w:tabs>
        <w:ind w:left="720" w:hanging="360"/>
        <w:spacing w:after="120" w:line="280" w:lineRule="auto"/>
      </w:pPr>
    </w:lvl>
  </w:abstractNum>
  <w:num w:numId="11">
    <w:abstractNumId w:val="10"/>
  </w:num>
  <w:num w:numId="12">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spacing w:before="0" w:after="120" w:line="264" w:lineRule="auto"/>
      <w:jc w:val="left"/>
    </w:pPr>
    <w:rPr>
      <w:rFonts w:ascii="Calibri" w:hAnsi="Calibri"/>
      <w:b w:val="0"/>
      <w:i w:val="0"/>
      <w:color w:val="17211B"/>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line="240" w:lineRule="auto"/>
      <w:outlineLvl w:val="0"/>
    </w:pPr>
    <w:rPr>
      <w:rFonts w:asciiTheme="majorHAnsi" w:eastAsiaTheme="majorEastAsia" w:hAnsiTheme="majorHAnsi" w:cstheme="majorBidi" w:ascii="Calibri" w:hAnsi="Calibri"/>
      <w:b/>
      <w:bCs/>
      <w:i w:val="0"/>
      <w:color w:val="2D6A6F"/>
      <w:sz w:val="32"/>
      <w:szCs w:val="28"/>
    </w:rPr>
  </w:style>
  <w:style w:type="paragraph" w:styleId="Heading2">
    <w:name w:val="heading 2"/>
    <w:basedOn w:val="Normal"/>
    <w:next w:val="Normal"/>
    <w:link w:val="Heading2Char"/>
    <w:uiPriority w:val="9"/>
    <w:unhideWhenUsed/>
    <w:qFormat/>
    <w:rsid w:val="00FC693F"/>
    <w:pPr>
      <w:keepNext/>
      <w:keepLines/>
      <w:spacing w:before="200" w:after="100" w:line="240" w:lineRule="auto"/>
      <w:outlineLvl w:val="1"/>
    </w:pPr>
    <w:rPr>
      <w:rFonts w:asciiTheme="majorHAnsi" w:eastAsiaTheme="majorEastAsia" w:hAnsiTheme="majorHAnsi" w:cstheme="majorBidi" w:ascii="Calibri" w:hAnsi="Calibri"/>
      <w:b/>
      <w:bCs/>
      <w:i w:val="0"/>
      <w:color w:val="2D6A6F"/>
      <w:sz w:val="26"/>
      <w:szCs w:val="26"/>
    </w:rPr>
  </w:style>
  <w:style w:type="paragraph" w:styleId="Heading3">
    <w:name w:val="heading 3"/>
    <w:basedOn w:val="Normal"/>
    <w:next w:val="Normal"/>
    <w:link w:val="Heading3Char"/>
    <w:uiPriority w:val="9"/>
    <w:unhideWhenUsed/>
    <w:qFormat/>
    <w:rsid w:val="00FC693F"/>
    <w:pPr>
      <w:keepNext/>
      <w:keepLines/>
      <w:spacing w:before="160" w:after="80" w:line="240" w:lineRule="auto"/>
      <w:outlineLvl w:val="2"/>
    </w:pPr>
    <w:rPr>
      <w:rFonts w:asciiTheme="majorHAnsi" w:eastAsiaTheme="majorEastAsia" w:hAnsiTheme="majorHAnsi" w:cstheme="majorBidi" w:ascii="Calibri" w:hAnsi="Calibri"/>
      <w:b/>
      <w:bCs/>
      <w:i w:val="0"/>
      <w:color w:val="173F43"/>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60" w:line="240" w:lineRule="auto" w:before="0"/>
      <w:contextualSpacing/>
      <w:jc w:val="center"/>
    </w:pPr>
    <w:rPr>
      <w:rFonts w:asciiTheme="majorHAnsi" w:eastAsiaTheme="majorEastAsia" w:hAnsiTheme="majorHAnsi" w:cstheme="majorBidi" w:ascii="Calibri" w:hAnsi="Calibri"/>
      <w:b/>
      <w:i w:val="0"/>
      <w:color w:val="173F43"/>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360" w:line="276" w:lineRule="auto"/>
      <w:jc w:val="center"/>
    </w:pPr>
    <w:rPr>
      <w:rFonts w:asciiTheme="majorHAnsi" w:eastAsiaTheme="majorEastAsia" w:hAnsiTheme="majorHAnsi" w:cstheme="majorBidi" w:ascii="Calibri" w:hAnsi="Calibri"/>
      <w:b w:val="0"/>
      <w:i w:val="0"/>
      <w:iCs/>
      <w:color w:val="59645D"/>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keepNext w:val="0"/>
      <w:spacing w:before="0" w:after="120" w:line="280" w:lineRule="auto"/>
      <w:ind w:left="720"/>
      <w:contextualSpacing/>
    </w:pPr>
    <w:rPr>
      <w:rFonts w:ascii="Calibri" w:hAnsi="Calibri"/>
      <w:b w:val="0"/>
      <w:i w:val="0"/>
      <w:color w:val="17211B"/>
      <w:sz w:val="22"/>
    </w:r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pPr>
      <w:keepNext w:val="0"/>
      <w:spacing w:before="160" w:after="200" w:line="288" w:lineRule="auto"/>
      <w:ind w:left="259" w:right="115"/>
    </w:pPr>
    <w:rPr>
      <w:rFonts w:ascii="Calibri" w:hAnsi="Calibri"/>
      <w:b/>
      <w:i w:val="0"/>
      <w:iCs/>
      <w:color w:val="173F43"/>
      <w:sz w:val="22"/>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rPr>
      <w:rFonts w:ascii="Calibri" w:hAnsi="Calibri"/>
      <w:b w:val="0"/>
      <w:i w:val="0"/>
      <w:color w:val="17211B"/>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
    <w:name w:val="Code"/>
    <w:pPr>
      <w:keepNext w:val="0"/>
      <w:spacing w:before="80" w:after="160" w:line="240" w:lineRule="auto"/>
    </w:pPr>
    <w:rPr>
      <w:rFonts w:ascii="Courier New" w:hAnsi="Courier New"/>
      <w:b w:val="0"/>
      <w:i w:val="0"/>
      <w:color w:val="17211B"/>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BrandQuill AI Meeting Minutes Starter Template</dc:title>
  <dc:subject>A reusable meeting minutes template with attendees, discussion summaries, decisions, action items, open questions, and next steps.</dc:subject>
  <dc:creator/>
  <cp:keywords>BrandQuill, Word template, DOCX, editable document</cp:keywords>
  <dc:description>Free meeting minutes starter template from brandquill.app</dc:description>
  <cp:lastModifiedBy/>
  <cp:revision>1</cp:revision>
  <dcterms:created xsi:type="dcterms:W3CDTF">2013-12-23T23:15:00Z</dcterms:created>
  <dcterms:modified xsi:type="dcterms:W3CDTF">2013-12-23T23:15:00Z</dcterms:modified>
  <cp:category/>
</cp:coreProperties>
</file>