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80"/>
      </w:pPr>
    </w:p>
    <w:p>
      <w:pPr>
        <w:keepNext/>
        <w:spacing w:before="0" w:after="240"/>
        <w:jc w:val="left"/>
      </w:pPr>
      <w:r>
        <w:rPr>
          <w:rFonts w:ascii="Calibri" w:hAnsi="Calibri"/>
          <w:b/>
          <w:color w:val="0F6F6A"/>
          <w:sz w:val="18"/>
        </w:rPr>
        <w:t>CONFIDENTIAL AUDIT REPORT</w:t>
      </w:r>
    </w:p>
    <w:p>
      <w:pPr>
        <w:pStyle w:val="Title"/>
        <w:jc w:val="left"/>
        <w:pBdr>
          <w:bottom w:val="single" w:sz="10" w:space="10" w:color="0F6F6A"/>
        </w:pBdr>
      </w:pPr>
      <w:r>
        <w:rPr>
          <w:rFonts w:ascii="Calibri" w:hAnsi="Calibri"/>
          <w:b/>
          <w:color w:val="123A3F"/>
          <w:sz w:val="64"/>
        </w:rPr>
        <w:t>Operational controls audit</w:t>
      </w:r>
    </w:p>
    <w:p>
      <w:pPr>
        <w:pStyle w:val="Subtitle"/>
        <w:jc w:val="left"/>
      </w:pPr>
      <w:r>
        <w:rPr>
          <w:rFonts w:ascii="Calibri" w:hAnsi="Calibri"/>
          <w:color w:val="59645D"/>
          <w:sz w:val="28"/>
        </w:rPr>
        <w:t>Inventory and fulfillment process</w:t>
      </w:r>
    </w:p>
    <w:p>
      <w:pPr>
        <w:spacing w:after="60"/>
        <w:jc w:val="left"/>
      </w:pPr>
      <w:r>
        <w:rPr>
          <w:rFonts w:ascii="Calibri" w:hAnsi="Calibri"/>
          <w:b/>
          <w:color w:val="123A3F"/>
          <w:sz w:val="20"/>
        </w:rPr>
        <w:t xml:space="preserve">Prepared for: </w:t>
      </w:r>
      <w:r>
        <w:rPr>
          <w:rFonts w:ascii="Calibri" w:hAnsi="Calibri"/>
          <w:color w:val="59645D"/>
          <w:sz w:val="20"/>
        </w:rPr>
        <w:t>Atlas Retail Group, Audit Committee</w:t>
      </w:r>
    </w:p>
    <w:p>
      <w:pPr>
        <w:spacing w:after="60"/>
        <w:jc w:val="left"/>
      </w:pPr>
      <w:r>
        <w:rPr>
          <w:rFonts w:ascii="Calibri" w:hAnsi="Calibri"/>
          <w:b/>
          <w:color w:val="123A3F"/>
          <w:sz w:val="20"/>
        </w:rPr>
        <w:t xml:space="preserve">Prepared by: </w:t>
      </w:r>
      <w:r>
        <w:rPr>
          <w:rFonts w:ascii="Calibri" w:hAnsi="Calibri"/>
          <w:color w:val="59645D"/>
          <w:sz w:val="20"/>
        </w:rPr>
        <w:t>Internal Audit</w:t>
      </w:r>
    </w:p>
    <w:p>
      <w:pPr>
        <w:spacing w:after="60"/>
        <w:jc w:val="left"/>
      </w:pPr>
      <w:r>
        <w:rPr>
          <w:rFonts w:ascii="Calibri" w:hAnsi="Calibri"/>
          <w:b/>
          <w:color w:val="123A3F"/>
          <w:sz w:val="20"/>
        </w:rPr>
        <w:t xml:space="preserve">Date: </w:t>
      </w:r>
      <w:r>
        <w:rPr>
          <w:rFonts w:ascii="Calibri" w:hAnsi="Calibri"/>
          <w:color w:val="59645D"/>
          <w:sz w:val="20"/>
        </w:rPr>
        <w:t>August 2026</w:t>
      </w:r>
    </w:p>
    <w:p>
      <w:pPr>
        <w:spacing w:before="880" w:after="0"/>
        <w:jc w:val="left"/>
      </w:pPr>
      <w:r>
        <w:rPr>
          <w:rFonts w:ascii="Calibri" w:hAnsi="Calibri"/>
          <w:i/>
          <w:color w:val="59645D"/>
          <w:sz w:val="18"/>
        </w:rPr>
        <w:t>Sample starter content for layout and workflow testing. Evidence, ratings, conclusions, and recommendations require professional review.</w:t>
      </w:r>
    </w:p>
    <w:p>
      <w:r>
        <w:br w:type="page"/>
      </w:r>
    </w:p>
    <w:p>
      <w:pPr>
        <w:pStyle w:val="Heading1"/>
      </w:pPr>
      <w:r>
        <w:t>Executive summary</w:t>
      </w:r>
    </w:p>
    <w:p>
      <w:pPr/>
      <w:r>
        <w:t>Internal Audit reviewed selected inventory and fulfillment controls across three distribution locations. The process is generally designed to support accurate movement and timely shipment, but inconsistent evidence retention and override review reduce management's ability to confirm that critical controls operated as intended.</w:t>
      </w:r>
    </w:p>
    <w:p>
      <w:pPr>
        <w:pStyle w:val="Quote"/>
        <w:spacing w:before="160" w:after="240"/>
        <w:shd w:fill="E7F2F1"/>
        <w:pBdr>
          <w:left w:val="single" w:sz="18" w:space="8" w:color="0F6F6A"/>
        </w:pBdr>
      </w:pPr>
      <w:r>
        <w:rPr>
          <w:rFonts w:ascii="Calibri" w:hAnsi="Calibri"/>
          <w:b/>
          <w:color w:val="123A3F"/>
          <w:sz w:val="22"/>
        </w:rPr>
        <w:t xml:space="preserve">Overall conclusion: </w:t>
      </w:r>
      <w:r>
        <w:rPr>
          <w:rFonts w:ascii="Calibri" w:hAnsi="Calibri"/>
          <w:color w:val="123A3F"/>
          <w:sz w:val="22"/>
        </w:rPr>
        <w:t>Moderate improvement is required. Two findings should be addressed within the current quarter, with progress reported to the Audit Committee.</w:t>
      </w:r>
    </w:p>
    <w:p>
      <w:pPr>
        <w:pStyle w:val="Heading1"/>
      </w:pPr>
      <w:r>
        <w:t>Scope and methodology</w:t>
      </w:r>
    </w:p>
    <w:p>
      <w:pPr>
        <w:pStyle w:val="ListParagraph"/>
        <w:numPr>
          <w:ilvl w:val="0"/>
          <w:numId w:val="12"/>
        </w:numPr>
      </w:pPr>
      <w:r>
        <w:t>Reviewed the period from January 1 through June 30, 2026.</w:t>
      </w:r>
    </w:p>
    <w:p>
      <w:pPr>
        <w:pStyle w:val="ListParagraph"/>
        <w:numPr>
          <w:ilvl w:val="0"/>
          <w:numId w:val="12"/>
        </w:numPr>
      </w:pPr>
      <w:r>
        <w:t>Evaluated control design and selected operating evidence across receiving, inventory adjustment, and shipment release activities.</w:t>
      </w:r>
    </w:p>
    <w:p>
      <w:pPr>
        <w:pStyle w:val="ListParagraph"/>
        <w:numPr>
          <w:ilvl w:val="0"/>
          <w:numId w:val="12"/>
        </w:numPr>
      </w:pPr>
      <w:r>
        <w:t>Interviewed process owners and tested a risk-based sample of transactions.</w:t>
      </w:r>
    </w:p>
    <w:p>
      <w:pPr>
        <w:pStyle w:val="ListParagraph"/>
        <w:numPr>
          <w:ilvl w:val="0"/>
          <w:numId w:val="12"/>
        </w:numPr>
      </w:pPr>
      <w:r>
        <w:t>Excluded financial statement valuation and third-party logistics operations from this review.</w:t>
      </w:r>
    </w:p>
    <w:p>
      <w:pPr>
        <w:pStyle w:val="Heading1"/>
      </w:pPr>
      <w:r>
        <w:t>Findings overview</w:t>
      </w:r>
    </w:p>
    <w:tbl>
      <w:tblPr>
        <w:tblStyle w:val="TableGrid"/>
        <w:tblW w:type="dxa" w:w="9360"/>
        <w:tblLayout w:type="fixed"/>
        <w:tblLook w:firstColumn="1" w:firstRow="1" w:lastColumn="0" w:lastRow="0" w:noHBand="0" w:noVBand="1" w:val="04A0"/>
        <w:tblInd w:w="120" w:type="dxa"/>
      </w:tblPr>
      <w:tblGrid>
        <w:gridCol w:w="1100"/>
        <w:gridCol w:w="4560"/>
        <w:gridCol w:w="1600"/>
        <w:gridCol w:w="2100"/>
      </w:tblGrid>
      <w:tr>
        <w:trPr>
          <w:tblHeader w:val="true"/>
        </w:trPr>
        <w:tc>
          <w:tcPr>
            <w:tcW w:type="dxa" w:w="1100"/>
            <w:shd w:fill="123A3F"/>
            <w:vAlign w:val="center"/>
            <w:tcMar>
              <w:top w:w="80" w:type="dxa"/>
              <w:bottom w:w="80" w:type="dxa"/>
              <w:start w:w="120" w:type="dxa"/>
              <w:end w:w="120" w:type="dxa"/>
            </w:tcMar>
          </w:tcPr>
          <w:p>
            <w:pPr>
              <w:spacing w:after="0"/>
              <w:jc w:val="center"/>
            </w:pPr>
            <w:r/>
            <w:r>
              <w:rPr>
                <w:rFonts w:ascii="Calibri" w:hAnsi="Calibri"/>
                <w:b/>
                <w:color w:val="FFFFFF"/>
                <w:sz w:val="19"/>
              </w:rPr>
              <w:t>Ref</w:t>
            </w:r>
          </w:p>
        </w:tc>
        <w:tc>
          <w:tcPr>
            <w:tcW w:type="dxa" w:w="4560"/>
            <w:shd w:fill="123A3F"/>
            <w:vAlign w:val="center"/>
            <w:tcMar>
              <w:top w:w="80" w:type="dxa"/>
              <w:bottom w:w="80" w:type="dxa"/>
              <w:start w:w="120" w:type="dxa"/>
              <w:end w:w="120" w:type="dxa"/>
            </w:tcMar>
          </w:tcPr>
          <w:p>
            <w:pPr>
              <w:spacing w:after="0"/>
              <w:jc w:val="left"/>
            </w:pPr>
            <w:r/>
            <w:r>
              <w:rPr>
                <w:rFonts w:ascii="Calibri" w:hAnsi="Calibri"/>
                <w:b/>
                <w:color w:val="FFFFFF"/>
                <w:sz w:val="19"/>
              </w:rPr>
              <w:t>Finding</w:t>
            </w:r>
          </w:p>
        </w:tc>
        <w:tc>
          <w:tcPr>
            <w:tcW w:type="dxa" w:w="1600"/>
            <w:shd w:fill="123A3F"/>
            <w:vAlign w:val="center"/>
            <w:tcMar>
              <w:top w:w="80" w:type="dxa"/>
              <w:bottom w:w="80" w:type="dxa"/>
              <w:start w:w="120" w:type="dxa"/>
              <w:end w:w="120" w:type="dxa"/>
            </w:tcMar>
          </w:tcPr>
          <w:p>
            <w:pPr>
              <w:spacing w:after="0"/>
              <w:jc w:val="center"/>
            </w:pPr>
            <w:r/>
            <w:r>
              <w:rPr>
                <w:rFonts w:ascii="Calibri" w:hAnsi="Calibri"/>
                <w:b/>
                <w:color w:val="FFFFFF"/>
                <w:sz w:val="19"/>
              </w:rPr>
              <w:t>Rating</w:t>
            </w:r>
          </w:p>
        </w:tc>
        <w:tc>
          <w:tcPr>
            <w:tcW w:type="dxa" w:w="2100"/>
            <w:shd w:fill="123A3F"/>
            <w:vAlign w:val="center"/>
            <w:tcMar>
              <w:top w:w="80" w:type="dxa"/>
              <w:bottom w:w="80" w:type="dxa"/>
              <w:start w:w="120" w:type="dxa"/>
              <w:end w:w="120" w:type="dxa"/>
            </w:tcMar>
          </w:tcPr>
          <w:p>
            <w:pPr>
              <w:spacing w:after="0"/>
              <w:jc w:val="left"/>
            </w:pPr>
            <w:r/>
            <w:r>
              <w:rPr>
                <w:rFonts w:ascii="Calibri" w:hAnsi="Calibri"/>
                <w:b/>
                <w:color w:val="FFFFFF"/>
                <w:sz w:val="19"/>
              </w:rPr>
              <w:t>Owner</w:t>
            </w:r>
          </w:p>
        </w:tc>
      </w:tr>
      <w:tr>
        <w:trPr>
          <w:cantSplit/>
        </w:trPr>
        <w:tc>
          <w:tcPr>
            <w:tcW w:type="dxa" w:w="110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AR-01</w:t>
            </w:r>
          </w:p>
        </w:tc>
        <w:tc>
          <w:tcPr>
            <w:tcW w:type="dxa" w:w="456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Override approvals are not consistently retained</w:t>
            </w:r>
          </w:p>
        </w:tc>
        <w:tc>
          <w:tcPr>
            <w:tcW w:type="dxa" w:w="160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Moderate</w:t>
            </w:r>
          </w:p>
        </w:tc>
        <w:tc>
          <w:tcPr>
            <w:tcW w:type="dxa" w:w="21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Fulfillment Ops</w:t>
            </w:r>
          </w:p>
        </w:tc>
      </w:tr>
      <w:tr>
        <w:trPr>
          <w:cantSplit/>
        </w:trPr>
        <w:tc>
          <w:tcPr>
            <w:tcW w:type="dxa" w:w="1100"/>
            <w:shd w:fill="E7F2F1"/>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AR-02</w:t>
            </w:r>
          </w:p>
        </w:tc>
        <w:tc>
          <w:tcPr>
            <w:tcW w:type="dxa" w:w="4560"/>
            <w:shd w:fill="E7F2F1"/>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Cycle-count exceptions lack documented closure</w:t>
            </w:r>
          </w:p>
        </w:tc>
        <w:tc>
          <w:tcPr>
            <w:tcW w:type="dxa" w:w="1600"/>
            <w:shd w:fill="E7F2F1"/>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Moderate</w:t>
            </w:r>
          </w:p>
        </w:tc>
        <w:tc>
          <w:tcPr>
            <w:tcW w:type="dxa" w:w="2100"/>
            <w:shd w:fill="E7F2F1"/>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Inventory Control</w:t>
            </w:r>
          </w:p>
        </w:tc>
      </w:tr>
      <w:tr>
        <w:trPr>
          <w:cantSplit/>
        </w:trPr>
        <w:tc>
          <w:tcPr>
            <w:tcW w:type="dxa" w:w="110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AR-03</w:t>
            </w:r>
          </w:p>
        </w:tc>
        <w:tc>
          <w:tcPr>
            <w:tcW w:type="dxa" w:w="456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Access review evidence is fragmented</w:t>
            </w:r>
          </w:p>
        </w:tc>
        <w:tc>
          <w:tcPr>
            <w:tcW w:type="dxa" w:w="160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Low</w:t>
            </w:r>
          </w:p>
        </w:tc>
        <w:tc>
          <w:tcPr>
            <w:tcW w:type="dxa" w:w="21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Technology Ops</w:t>
            </w:r>
          </w:p>
        </w:tc>
      </w:tr>
    </w:tbl>
    <w:p>
      <w:pPr>
        <w:spacing w:after="60"/>
      </w:pPr>
    </w:p>
    <w:p>
      <w:r>
        <w:br w:type="page"/>
      </w:r>
    </w:p>
    <w:p>
      <w:pPr>
        <w:pStyle w:val="Heading1"/>
      </w:pPr>
      <w:r>
        <w:t>Detailed finding</w:t>
      </w:r>
    </w:p>
    <w:p>
      <w:pPr>
        <w:pStyle w:val="Heading2"/>
      </w:pPr>
      <w:r>
        <w:t>AR-01 | Override approvals are not consistently retained</w:t>
      </w:r>
    </w:p>
    <w:p>
      <w:pPr/>
      <w:r>
        <w:rPr>
          <w:b/>
        </w:rPr>
        <w:t>Condition:</w:t>
      </w:r>
      <w:r>
        <w:t xml:space="preserve"> In the sample reviewed, several shipment-release overrides lacked retained evidence of approval even though system records showed that an override occurred.</w:t>
      </w:r>
    </w:p>
    <w:p>
      <w:pPr/>
      <w:r>
        <w:rPr>
          <w:b/>
        </w:rPr>
        <w:t>Criteria:</w:t>
      </w:r>
      <w:r>
        <w:t xml:space="preserve"> The fulfillment control standard requires a documented approval by an authorized manager before release.</w:t>
      </w:r>
    </w:p>
    <w:p>
      <w:pPr/>
      <w:r>
        <w:rPr>
          <w:b/>
        </w:rPr>
        <w:t>Cause:</w:t>
      </w:r>
      <w:r>
        <w:t xml:space="preserve"> The approval occurs through more than one channel, and the process does not identify one required system of record.</w:t>
      </w:r>
    </w:p>
    <w:p>
      <w:pPr/>
      <w:r>
        <w:rPr>
          <w:b/>
        </w:rPr>
        <w:t>Effect:</w:t>
      </w:r>
      <w:r>
        <w:t xml:space="preserve"> Management cannot consistently demonstrate that high-risk overrides were independently reviewed before fulfillment.</w:t>
      </w:r>
    </w:p>
    <w:p>
      <w:pPr>
        <w:pStyle w:val="Quote"/>
        <w:spacing w:before="160" w:after="240"/>
        <w:shd w:fill="E7F2F1"/>
        <w:pBdr>
          <w:left w:val="single" w:sz="18" w:space="8" w:color="0F6F6A"/>
        </w:pBdr>
      </w:pPr>
      <w:r>
        <w:rPr>
          <w:rFonts w:ascii="Calibri" w:hAnsi="Calibri"/>
          <w:b/>
          <w:color w:val="123A3F"/>
          <w:sz w:val="22"/>
        </w:rPr>
        <w:t xml:space="preserve">Recommendation: </w:t>
      </w:r>
      <w:r>
        <w:rPr>
          <w:rFonts w:ascii="Calibri" w:hAnsi="Calibri"/>
          <w:color w:val="123A3F"/>
          <w:sz w:val="22"/>
        </w:rPr>
        <w:t>Require approval in the designated workflow, block completion when evidence is missing, and review the monthly exception report for unresolved items.</w:t>
      </w:r>
    </w:p>
    <w:p>
      <w:pPr>
        <w:pStyle w:val="Heading1"/>
      </w:pPr>
      <w:r>
        <w:t>Management action plan</w:t>
      </w:r>
    </w:p>
    <w:tbl>
      <w:tblPr>
        <w:tblStyle w:val="TableGrid"/>
        <w:tblW w:type="dxa" w:w="9360"/>
        <w:tblLayout w:type="fixed"/>
        <w:tblLook w:firstColumn="1" w:firstRow="1" w:lastColumn="0" w:lastRow="0" w:noHBand="0" w:noVBand="1" w:val="04A0"/>
        <w:tblInd w:w="120" w:type="dxa"/>
      </w:tblPr>
      <w:tblGrid>
        <w:gridCol w:w="4200"/>
        <w:gridCol w:w="2200"/>
        <w:gridCol w:w="1800"/>
        <w:gridCol w:w="1160"/>
      </w:tblGrid>
      <w:tr>
        <w:trPr>
          <w:tblHeader w:val="true"/>
        </w:trPr>
        <w:tc>
          <w:tcPr>
            <w:tcW w:type="dxa" w:w="4200"/>
            <w:shd w:fill="123A3F"/>
            <w:vAlign w:val="center"/>
            <w:tcMar>
              <w:top w:w="80" w:type="dxa"/>
              <w:bottom w:w="80" w:type="dxa"/>
              <w:start w:w="120" w:type="dxa"/>
              <w:end w:w="120" w:type="dxa"/>
            </w:tcMar>
          </w:tcPr>
          <w:p>
            <w:pPr>
              <w:spacing w:after="0"/>
              <w:jc w:val="left"/>
            </w:pPr>
            <w:r/>
            <w:r>
              <w:rPr>
                <w:rFonts w:ascii="Calibri" w:hAnsi="Calibri"/>
                <w:b/>
                <w:color w:val="FFFFFF"/>
                <w:sz w:val="19"/>
              </w:rPr>
              <w:t>Action</w:t>
            </w:r>
          </w:p>
        </w:tc>
        <w:tc>
          <w:tcPr>
            <w:tcW w:type="dxa" w:w="2200"/>
            <w:shd w:fill="123A3F"/>
            <w:vAlign w:val="center"/>
            <w:tcMar>
              <w:top w:w="80" w:type="dxa"/>
              <w:bottom w:w="80" w:type="dxa"/>
              <w:start w:w="120" w:type="dxa"/>
              <w:end w:w="120" w:type="dxa"/>
            </w:tcMar>
          </w:tcPr>
          <w:p>
            <w:pPr>
              <w:spacing w:after="0"/>
              <w:jc w:val="left"/>
            </w:pPr>
            <w:r/>
            <w:r>
              <w:rPr>
                <w:rFonts w:ascii="Calibri" w:hAnsi="Calibri"/>
                <w:b/>
                <w:color w:val="FFFFFF"/>
                <w:sz w:val="19"/>
              </w:rPr>
              <w:t>Owner</w:t>
            </w:r>
          </w:p>
        </w:tc>
        <w:tc>
          <w:tcPr>
            <w:tcW w:type="dxa" w:w="1800"/>
            <w:shd w:fill="123A3F"/>
            <w:vAlign w:val="center"/>
            <w:tcMar>
              <w:top w:w="80" w:type="dxa"/>
              <w:bottom w:w="80" w:type="dxa"/>
              <w:start w:w="120" w:type="dxa"/>
              <w:end w:w="120" w:type="dxa"/>
            </w:tcMar>
          </w:tcPr>
          <w:p>
            <w:pPr>
              <w:spacing w:after="0"/>
              <w:jc w:val="center"/>
            </w:pPr>
            <w:r/>
            <w:r>
              <w:rPr>
                <w:rFonts w:ascii="Calibri" w:hAnsi="Calibri"/>
                <w:b/>
                <w:color w:val="FFFFFF"/>
                <w:sz w:val="19"/>
              </w:rPr>
              <w:t>Target date</w:t>
            </w:r>
          </w:p>
        </w:tc>
        <w:tc>
          <w:tcPr>
            <w:tcW w:type="dxa" w:w="1160"/>
            <w:shd w:fill="123A3F"/>
            <w:vAlign w:val="center"/>
            <w:tcMar>
              <w:top w:w="80" w:type="dxa"/>
              <w:bottom w:w="80" w:type="dxa"/>
              <w:start w:w="120" w:type="dxa"/>
              <w:end w:w="120" w:type="dxa"/>
            </w:tcMar>
          </w:tcPr>
          <w:p>
            <w:pPr>
              <w:spacing w:after="0"/>
              <w:jc w:val="center"/>
            </w:pPr>
            <w:r/>
            <w:r>
              <w:rPr>
                <w:rFonts w:ascii="Calibri" w:hAnsi="Calibri"/>
                <w:b/>
                <w:color w:val="FFFFFF"/>
                <w:sz w:val="19"/>
              </w:rPr>
              <w:t>Status</w:t>
            </w:r>
          </w:p>
        </w:tc>
      </w:tr>
      <w:tr>
        <w:trPr>
          <w:cantSplit/>
        </w:trPr>
        <w:tc>
          <w:tcPr>
            <w:tcW w:type="dxa" w:w="42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Configure one approval workflow and archive</w:t>
            </w:r>
          </w:p>
        </w:tc>
        <w:tc>
          <w:tcPr>
            <w:tcW w:type="dxa" w:w="22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Fulfillment Ops</w:t>
            </w:r>
          </w:p>
        </w:tc>
        <w:tc>
          <w:tcPr>
            <w:tcW w:type="dxa" w:w="180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Sep. 30, 2026</w:t>
            </w:r>
          </w:p>
        </w:tc>
        <w:tc>
          <w:tcPr>
            <w:tcW w:type="dxa" w:w="116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Planned</w:t>
            </w:r>
          </w:p>
        </w:tc>
      </w:tr>
      <w:tr>
        <w:trPr>
          <w:cantSplit/>
        </w:trPr>
        <w:tc>
          <w:tcPr>
            <w:tcW w:type="dxa" w:w="4200"/>
            <w:shd w:fill="E7F2F1"/>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Add monthly unresolved-override review</w:t>
            </w:r>
          </w:p>
        </w:tc>
        <w:tc>
          <w:tcPr>
            <w:tcW w:type="dxa" w:w="2200"/>
            <w:shd w:fill="E7F2F1"/>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Risk Operations</w:t>
            </w:r>
          </w:p>
        </w:tc>
        <w:tc>
          <w:tcPr>
            <w:tcW w:type="dxa" w:w="1800"/>
            <w:shd w:fill="E7F2F1"/>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Oct. 15, 2026</w:t>
            </w:r>
          </w:p>
        </w:tc>
        <w:tc>
          <w:tcPr>
            <w:tcW w:type="dxa" w:w="1160"/>
            <w:shd w:fill="E7F2F1"/>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Planned</w:t>
            </w:r>
          </w:p>
        </w:tc>
      </w:tr>
      <w:tr>
        <w:trPr>
          <w:cantSplit/>
        </w:trPr>
        <w:tc>
          <w:tcPr>
            <w:tcW w:type="dxa" w:w="42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Validate implementation through follow-up testing</w:t>
            </w:r>
          </w:p>
        </w:tc>
        <w:tc>
          <w:tcPr>
            <w:tcW w:type="dxa" w:w="22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Internal Audit</w:t>
            </w:r>
          </w:p>
        </w:tc>
        <w:tc>
          <w:tcPr>
            <w:tcW w:type="dxa" w:w="180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Dec. 15, 2026</w:t>
            </w:r>
          </w:p>
        </w:tc>
        <w:tc>
          <w:tcPr>
            <w:tcW w:type="dxa" w:w="116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Pending</w:t>
            </w:r>
          </w:p>
        </w:tc>
      </w:tr>
    </w:tbl>
    <w:p>
      <w:pPr>
        <w:spacing w:after="60"/>
      </w:pPr>
    </w:p>
    <w:p>
      <w:pPr>
        <w:pStyle w:val="Heading1"/>
      </w:pPr>
      <w:r>
        <w:t>Required review</w:t>
      </w:r>
    </w:p>
    <w:p>
      <w:pPr>
        <w:pStyle w:val="ListParagraph"/>
        <w:numPr>
          <w:ilvl w:val="0"/>
          <w:numId w:val="13"/>
        </w:numPr>
      </w:pPr>
      <w:r>
        <w:t>Reconcile every finding to retained evidence and the approved rating methodology.</w:t>
      </w:r>
    </w:p>
    <w:p>
      <w:pPr>
        <w:pStyle w:val="ListParagraph"/>
        <w:numPr>
          <w:ilvl w:val="0"/>
          <w:numId w:val="13"/>
        </w:numPr>
      </w:pPr>
      <w:r>
        <w:t>Confirm management responses, owners, and dates with the responsible executives.</w:t>
      </w:r>
    </w:p>
    <w:p>
      <w:pPr>
        <w:pStyle w:val="ListParagraph"/>
        <w:numPr>
          <w:ilvl w:val="0"/>
          <w:numId w:val="13"/>
        </w:numPr>
      </w:pPr>
      <w:r>
        <w:t>Complete quality review and distribution approval before release.</w:t>
      </w:r>
    </w:p>
    <w:p>
      <w:pPr>
        <w:pStyle w:val="Quote"/>
        <w:spacing w:before="160" w:after="240"/>
        <w:shd w:fill="E7F2F1"/>
        <w:pBdr>
          <w:left w:val="single" w:sz="18" w:space="8" w:color="0F6F6A"/>
        </w:pBdr>
      </w:pPr>
      <w:r>
        <w:rPr>
          <w:rFonts w:ascii="Calibri" w:hAnsi="Calibri"/>
          <w:b/>
          <w:color w:val="123A3F"/>
          <w:sz w:val="22"/>
        </w:rPr>
        <w:t xml:space="preserve">Important: </w:t>
      </w:r>
      <w:r>
        <w:rPr>
          <w:rFonts w:ascii="Calibri" w:hAnsi="Calibri"/>
          <w:color w:val="123A3F"/>
          <w:sz w:val="22"/>
        </w:rPr>
        <w:t>BrandQuill formats reviewed content. It does not perform audit procedures, evaluate evidence, assign ratings, or provide assurance.</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spacing w:before="0" w:after="0"/>
    </w:pPr>
    <w:r>
      <w:rPr>
        <w:rFonts w:ascii="Calibri" w:hAnsi="Calibri"/>
        <w:color w:val="59645D"/>
        <w:sz w:val="16"/>
      </w:rPr>
      <w:t>Free starter template | brandquill.app</w:t>
    </w:r>
    <w:r>
      <w:tab/>
    </w:r>
    <w:r>
      <w:rPr>
        <w:rFonts w:ascii="Calibri" w:hAnsi="Calibri"/>
        <w:color w:val="59645D"/>
        <w:sz w:val="16"/>
      </w:rPr>
      <w:t xml:space="preserve">Page </w:t>
    </w:r>
    <w:r>
      <w:rPr>
        <w:rFonts w:ascii="Calibri" w:hAnsi="Calibri"/>
        <w:color w:val="59645D"/>
        <w:sz w:val="16"/>
      </w:rPr>
      <w:fldChar w:fldCharType="begin"/>
      <w:instrText xml:space="preserve"> PAGE </w:instrText>
      <w:fldChar w:fldCharType="separate"/>
      <w:t>1</w:t>
      <w:fldChar w:fldCharType="end"/>
    </w:r>
    <w:r>
      <w:rPr>
        <w:rFonts w:ascii="Calibri" w:hAnsi="Calibri"/>
        <w:color w:val="59645D"/>
        <w:sz w:val="16"/>
      </w:rPr>
      <w:t xml:space="preserve"> of </w:t>
    </w:r>
    <w:r>
      <w:rPr>
        <w:rFonts w:ascii="Calibri" w:hAnsi="Calibri"/>
        <w:color w:val="59645D"/>
        <w:sz w:val="16"/>
      </w:rPr>
      <w:fldChar w:fldCharType="begin"/>
      <w:instrText xml:space="preserve"> NUMPAGES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Calibri" w:hAnsi="Calibri"/>
        <w:b/>
        <w:color w:val="0F6F6A"/>
        <w:sz w:val="16"/>
      </w:rPr>
      <w:t>BRANDQUILL</w:t>
    </w:r>
    <w:r>
      <w:tab/>
    </w:r>
    <w:r>
      <w:rPr>
        <w:rFonts w:ascii="Calibri" w:hAnsi="Calibri"/>
        <w:b/>
        <w:color w:val="59645D"/>
        <w:sz w:val="16"/>
      </w:rPr>
      <w:t>AUDIT REPORT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lvlJc w:val="left"/>
      <w:pPr>
        <w:tabs>
          <w:tab w:val="num" w:pos="720"/>
        </w:tabs>
        <w:ind w:left="720" w:hanging="360"/>
        <w:spacing w:after="160" w:line="280" w:lineRule="auto"/>
      </w:pPr>
      <w:rPr>
        <w:rFonts w:ascii="Calibri" w:hAnsi="Calibri"/>
      </w:rPr>
    </w:lvl>
  </w:abstractNum>
  <w:num w:numId="10">
    <w:abstractNumId w:val="9"/>
  </w:num>
  <w:abstractNum w:abstractNumId="10">
    <w:multiLevelType w:val="singleLevel"/>
    <w:lvl w:ilvl="0">
      <w:start w:val="1"/>
      <w:numFmt w:val="decimal"/>
      <w:lvlText w:val="%1."/>
      <w:suff w:val="tab"/>
      <w:lvlJc w:val="left"/>
      <w:pPr>
        <w:tabs>
          <w:tab w:val="num" w:pos="720"/>
        </w:tabs>
        <w:ind w:left="720" w:hanging="360"/>
        <w:spacing w:after="160" w:line="280" w:lineRule="auto"/>
      </w:pPr>
    </w:lvl>
  </w:abstractNum>
  <w:num w:numId="11">
    <w:abstractNumId w:val="10"/>
  </w:num>
  <w:num w:numId="12">
    <w:abstractNumId w:val="9"/>
    <w:lvlOverride w:ilvl="0">
      <w:startOverride w:val="1"/>
    </w:lvlOverride>
  </w:num>
  <w:num w:numId="13">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spacing w:before="0" w:after="120" w:line="264" w:lineRule="auto"/>
      <w:jc w:val="left"/>
    </w:pPr>
    <w:rPr>
      <w:rFonts w:ascii="Calibri" w:hAnsi="Calibri"/>
      <w:b w:val="0"/>
      <w:i w:val="0"/>
      <w:color w:val="17211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line="240" w:lineRule="auto"/>
      <w:outlineLvl w:val="0"/>
    </w:pPr>
    <w:rPr>
      <w:rFonts w:asciiTheme="majorHAnsi" w:eastAsiaTheme="majorEastAsia" w:hAnsiTheme="majorHAnsi" w:cstheme="majorBidi" w:ascii="Calibri" w:hAnsi="Calibri"/>
      <w:b/>
      <w:bCs/>
      <w:i w:val="0"/>
      <w:color w:val="0F6F6A"/>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40" w:lineRule="auto"/>
      <w:outlineLvl w:val="1"/>
    </w:pPr>
    <w:rPr>
      <w:rFonts w:asciiTheme="majorHAnsi" w:eastAsiaTheme="majorEastAsia" w:hAnsiTheme="majorHAnsi" w:cstheme="majorBidi" w:ascii="Calibri" w:hAnsi="Calibri"/>
      <w:b/>
      <w:bCs/>
      <w:i w:val="0"/>
      <w:color w:val="0F6F6A"/>
      <w:sz w:val="26"/>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outlineLvl w:val="2"/>
    </w:pPr>
    <w:rPr>
      <w:rFonts w:asciiTheme="majorHAnsi" w:eastAsiaTheme="majorEastAsia" w:hAnsiTheme="majorHAnsi" w:cstheme="majorBidi" w:ascii="Calibri" w:hAnsi="Calibri"/>
      <w:b/>
      <w:bCs/>
      <w:i w:val="0"/>
      <w:color w:val="123A3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60" w:line="240" w:lineRule="auto" w:before="0"/>
      <w:contextualSpacing/>
      <w:jc w:val="center"/>
    </w:pPr>
    <w:rPr>
      <w:rFonts w:asciiTheme="majorHAnsi" w:eastAsiaTheme="majorEastAsia" w:hAnsiTheme="majorHAnsi" w:cstheme="majorBidi" w:ascii="Calibri" w:hAnsi="Calibri"/>
      <w:b/>
      <w:i w:val="0"/>
      <w:color w:val="123A3F"/>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line="276" w:lineRule="auto"/>
      <w:jc w:val="center"/>
    </w:pPr>
    <w:rPr>
      <w:rFonts w:asciiTheme="majorHAnsi" w:eastAsiaTheme="majorEastAsia" w:hAnsiTheme="majorHAnsi" w:cstheme="majorBidi" w:ascii="Calibri" w:hAnsi="Calibri"/>
      <w:b w:val="0"/>
      <w:i w:val="0"/>
      <w:iCs/>
      <w:color w:val="59645D"/>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keepNext w:val="0"/>
      <w:spacing w:before="0" w:after="160" w:line="280" w:lineRule="auto"/>
      <w:ind w:left="720"/>
      <w:contextualSpacing/>
    </w:pPr>
    <w:rPr>
      <w:rFonts w:ascii="Calibri" w:hAnsi="Calibri"/>
      <w:b w:val="0"/>
      <w:i w:val="0"/>
      <w:color w:val="17211B"/>
      <w:sz w:val="22"/>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keepNext w:val="0"/>
      <w:spacing w:before="160" w:after="200" w:line="288" w:lineRule="auto"/>
      <w:ind w:left="259" w:right="115"/>
    </w:pPr>
    <w:rPr>
      <w:rFonts w:ascii="Calibri" w:hAnsi="Calibri"/>
      <w:b/>
      <w:i w:val="0"/>
      <w:iCs/>
      <w:color w:val="123A3F"/>
      <w:sz w:val="22"/>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rPr>
      <w:rFonts w:ascii="Calibri" w:hAnsi="Calibri"/>
      <w:b w:val="0"/>
      <w:i w:val="0"/>
      <w:color w:val="17211B"/>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
    <w:name w:val="Code"/>
    <w:pPr>
      <w:keepNext w:val="0"/>
      <w:spacing w:before="80" w:after="160" w:line="240" w:lineRule="auto"/>
    </w:pPr>
    <w:rPr>
      <w:rFonts w:ascii="Courier New" w:hAnsi="Courier New"/>
      <w:b w:val="0"/>
      <w:i w:val="0"/>
      <w:color w:val="17211B"/>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BrandQuill Audit Report Starter Template</dc:title>
  <dc:subject>A reusable audit report template with findings, ratings, recommendations, and action plans.</dc:subject>
  <dc:creator/>
  <cp:keywords>BrandQuill, Word template, DOCX, editable document</cp:keywords>
  <dc:description>Free audit report starter template from brandquill.app</dc:description>
  <cp:lastModifiedBy/>
  <cp:revision>1</cp:revision>
  <dcterms:created xsi:type="dcterms:W3CDTF">2013-12-23T23:15:00Z</dcterms:created>
  <dcterms:modified xsi:type="dcterms:W3CDTF">2013-12-23T23:15:00Z</dcterms:modified>
  <cp:category/>
</cp:coreProperties>
</file>