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p>
    <w:p>
      <w:pPr>
        <w:keepNext/>
        <w:spacing w:before="0" w:after="240"/>
        <w:jc w:val="left"/>
      </w:pPr>
      <w:r>
        <w:rPr>
          <w:rFonts w:ascii="Calibri" w:hAnsi="Calibri"/>
          <w:b/>
          <w:color w:val="7A3E52"/>
          <w:sz w:val="18"/>
        </w:rPr>
        <w:t>WORKPLACE POLICY</w:t>
      </w:r>
    </w:p>
    <w:p>
      <w:pPr>
        <w:pStyle w:val="Title"/>
        <w:jc w:val="left"/>
      </w:pPr>
      <w:r>
        <w:rPr>
          <w:rFonts w:ascii="Calibri" w:hAnsi="Calibri"/>
          <w:b/>
          <w:color w:val="351C27"/>
          <w:sz w:val="62"/>
        </w:rPr>
        <w:t>Generative AI use policy</w:t>
      </w:r>
    </w:p>
    <w:p>
      <w:pPr>
        <w:pStyle w:val="Subtitle"/>
        <w:jc w:val="left"/>
      </w:pPr>
      <w:r>
        <w:rPr>
          <w:rFonts w:ascii="Calibri" w:hAnsi="Calibri"/>
          <w:color w:val="59645D"/>
          <w:sz w:val="28"/>
        </w:rPr>
        <w:t>A review-ready starting point for responsible workplace use</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trPr>
        <w:tc>
          <w:tcPr>
            <w:tcW w:type="dxa" w:w="2700"/>
            <w:shd w:fill="351C27"/>
            <w:vAlign w:val="center"/>
            <w:tcMar>
              <w:top w:w="80" w:type="dxa"/>
              <w:bottom w:w="80" w:type="dxa"/>
              <w:start w:w="120" w:type="dxa"/>
              <w:end w:w="120" w:type="dxa"/>
            </w:tcMar>
          </w:tcPr>
          <w:p>
            <w:pPr>
              <w:spacing w:after="0"/>
              <w:jc w:val="left"/>
            </w:pPr>
            <w:r/>
            <w:r>
              <w:rPr>
                <w:rFonts w:ascii="Calibri" w:hAnsi="Calibri"/>
                <w:b/>
                <w:color w:val="FFFFFF"/>
                <w:sz w:val="19"/>
              </w:rPr>
              <w:t>Controlled field</w:t>
            </w:r>
          </w:p>
        </w:tc>
        <w:tc>
          <w:tcPr>
            <w:tcW w:type="dxa" w:w="6660"/>
            <w:shd w:fill="351C27"/>
            <w:vAlign w:val="center"/>
            <w:tcMar>
              <w:top w:w="80" w:type="dxa"/>
              <w:bottom w:w="80" w:type="dxa"/>
              <w:start w:w="120" w:type="dxa"/>
              <w:end w:w="120" w:type="dxa"/>
            </w:tcMar>
          </w:tcPr>
          <w:p>
            <w:pPr>
              <w:spacing w:after="0"/>
              <w:jc w:val="left"/>
            </w:pPr>
            <w:r/>
            <w:r>
              <w:rPr>
                <w:rFonts w:ascii="Calibri" w:hAnsi="Calibri"/>
                <w:b/>
                <w:color w:val="FFFFFF"/>
                <w:sz w:val="19"/>
              </w:rPr>
              <w:t>Current value</w:t>
            </w:r>
          </w:p>
        </w:tc>
      </w:tr>
      <w:tr>
        <w:trPr>
          <w:cantSplit/>
        </w:trPr>
        <w:tc>
          <w:tcPr>
            <w:tcW w:type="dxa" w:w="2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Policy owner</w:t>
            </w:r>
          </w:p>
        </w:tc>
        <w:tc>
          <w:tcPr>
            <w:tcW w:type="dxa" w:w="66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Information Security and Operations</w:t>
            </w:r>
          </w:p>
        </w:tc>
      </w:tr>
      <w:tr>
        <w:trPr>
          <w:cantSplit/>
        </w:trPr>
        <w:tc>
          <w:tcPr>
            <w:tcW w:type="dxa" w:w="27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Version and status</w:t>
            </w:r>
          </w:p>
        </w:tc>
        <w:tc>
          <w:tcPr>
            <w:tcW w:type="dxa" w:w="66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1.0 | Draft for qualified review</w:t>
            </w:r>
          </w:p>
        </w:tc>
      </w:tr>
      <w:tr>
        <w:trPr>
          <w:cantSplit/>
        </w:trPr>
        <w:tc>
          <w:tcPr>
            <w:tcW w:type="dxa" w:w="2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Effective date</w:t>
            </w:r>
          </w:p>
        </w:tc>
        <w:tc>
          <w:tcPr>
            <w:tcW w:type="dxa" w:w="66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To be approved</w:t>
            </w:r>
          </w:p>
        </w:tc>
      </w:tr>
      <w:tr>
        <w:trPr>
          <w:cantSplit/>
        </w:trPr>
        <w:tc>
          <w:tcPr>
            <w:tcW w:type="dxa" w:w="27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Review cycle</w:t>
            </w:r>
          </w:p>
        </w:tc>
        <w:tc>
          <w:tcPr>
            <w:tcW w:type="dxa" w:w="66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Every six months or after a material legal, security, vendor, or process change</w:t>
            </w:r>
          </w:p>
        </w:tc>
      </w:tr>
      <w:tr>
        <w:trPr>
          <w:cantSplit/>
        </w:trPr>
        <w:tc>
          <w:tcPr>
            <w:tcW w:type="dxa" w:w="2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Applies to</w:t>
            </w:r>
          </w:p>
        </w:tc>
        <w:tc>
          <w:tcPr>
            <w:tcW w:type="dxa" w:w="66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Employees, contractors, temporary workers, and approved service providers</w:t>
            </w:r>
          </w:p>
        </w:tc>
      </w:tr>
    </w:tbl>
    <w:p>
      <w:pPr>
        <w:spacing w:after="60"/>
      </w:pPr>
    </w:p>
    <w:p>
      <w:pPr>
        <w:pStyle w:val="Quote"/>
        <w:spacing w:before="160" w:after="240"/>
        <w:shd w:fill="F6EDEF"/>
        <w:pBdr>
          <w:left w:val="single" w:sz="18" w:space="8" w:color="7A3E52"/>
        </w:pBdr>
      </w:pPr>
      <w:r>
        <w:rPr>
          <w:rFonts w:ascii="Calibri" w:hAnsi="Calibri"/>
          <w:b/>
          <w:color w:val="351C27"/>
          <w:sz w:val="22"/>
        </w:rPr>
        <w:t xml:space="preserve">Review requirement: </w:t>
      </w:r>
      <w:r>
        <w:rPr>
          <w:rFonts w:ascii="Calibri" w:hAnsi="Calibri"/>
          <w:color w:val="351C27"/>
          <w:sz w:val="22"/>
        </w:rPr>
        <w:t>This starter is sample language, not legal, employment, privacy, security, or compliance advice. Replace every sample rule and obtain the reviews required for your organization and locations before adoption.</w:t>
      </w:r>
    </w:p>
    <w:p>
      <w:pPr>
        <w:pStyle w:val="Heading1"/>
      </w:pPr>
      <w:r>
        <w:t>Policy statement</w:t>
      </w:r>
    </w:p>
    <w:p>
      <w:pPr/>
      <w:r>
        <w:t>The organization supports responsible use of approved generative AI tools when they improve work without weakening confidentiality, security, quality, fairness, intellectual property rights, contractual commitments, records obligations, or human accountability. People remain responsible for the work they submit, approve, communicate, or act upon, even when AI assisted with it.</w:t>
      </w:r>
    </w:p>
    <w:p>
      <w:pPr>
        <w:pStyle w:val="Heading1"/>
      </w:pPr>
      <w:r>
        <w:t>Purpose and scope</w:t>
      </w:r>
    </w:p>
    <w:p>
      <w:pPr/>
      <w:r>
        <w:t>This policy establishes minimum rules for selecting, accessing, prompting, reviewing, sharing, and recording work produced with generative AI. It applies to work performed for the organization on any device or account. More restrictive legal, contractual, customer, professional, security, privacy, records, or department-specific requirements continue to apply.</w:t>
      </w:r>
    </w:p>
    <w:p>
      <w:pPr>
        <w:pStyle w:val="Heading1"/>
      </w:pPr>
      <w:r>
        <w:t>Core principles</w:t>
      </w:r>
    </w:p>
    <w:p>
      <w:pPr>
        <w:pStyle w:val="ListParagraph"/>
        <w:numPr>
          <w:ilvl w:val="0"/>
          <w:numId w:val="12"/>
        </w:numPr>
      </w:pPr>
      <w:r>
        <w:t>Use only approved tools, accounts, features, integrations, and data-handling configurations.</w:t>
      </w:r>
    </w:p>
    <w:p>
      <w:pPr>
        <w:pStyle w:val="ListParagraph"/>
        <w:numPr>
          <w:ilvl w:val="0"/>
          <w:numId w:val="12"/>
        </w:numPr>
      </w:pPr>
      <w:r>
        <w:t>Share only information the organization has authorized for that tool and purpose.</w:t>
      </w:r>
    </w:p>
    <w:p>
      <w:pPr>
        <w:pStyle w:val="ListParagraph"/>
        <w:numPr>
          <w:ilvl w:val="0"/>
          <w:numId w:val="12"/>
        </w:numPr>
      </w:pPr>
      <w:r>
        <w:t>Apply meaningful human review before relying on, distributing, or acting on AI output.</w:t>
      </w:r>
    </w:p>
    <w:p>
      <w:pPr>
        <w:pStyle w:val="ListParagraph"/>
        <w:numPr>
          <w:ilvl w:val="0"/>
          <w:numId w:val="12"/>
        </w:numPr>
      </w:pPr>
      <w:r>
        <w:t>Be transparent about material AI assistance when policy, law, contract, customer expectation, or professional practice requires it.</w:t>
      </w:r>
    </w:p>
    <w:p>
      <w:pPr>
        <w:pStyle w:val="ListParagraph"/>
        <w:numPr>
          <w:ilvl w:val="0"/>
          <w:numId w:val="12"/>
        </w:numPr>
      </w:pPr>
      <w:r>
        <w:t>Stop and escalate when the use case, information, output, or consequence creates material uncertainty or risk.</w:t>
      </w:r>
    </w:p>
    <w:p>
      <w:pPr>
        <w:pStyle w:val="Heading1"/>
      </w:pPr>
      <w:r>
        <w:t>Permitted use</w:t>
      </w:r>
    </w:p>
    <w:p>
      <w:pPr>
        <w:pStyle w:val="ListParagraph"/>
        <w:numPr>
          <w:ilvl w:val="0"/>
          <w:numId w:val="13"/>
        </w:numPr>
      </w:pPr>
      <w:r>
        <w:t>Brainstorming, outlining, summarizing, translating, or rewriting authorized non-sensitive content.</w:t>
      </w:r>
    </w:p>
    <w:p>
      <w:pPr>
        <w:pStyle w:val="ListParagraph"/>
        <w:numPr>
          <w:ilvl w:val="0"/>
          <w:numId w:val="13"/>
        </w:numPr>
      </w:pPr>
      <w:r>
        <w:t>Drafting internal or external material that will receive appropriate subject-matter, factual, legal, brand, and confidentiality review before use.</w:t>
      </w:r>
    </w:p>
    <w:p>
      <w:pPr>
        <w:pStyle w:val="ListParagraph"/>
        <w:numPr>
          <w:ilvl w:val="0"/>
          <w:numId w:val="13"/>
        </w:numPr>
      </w:pPr>
      <w:r>
        <w:t>Assisting with code, formulas, analysis, research, or documentation when inputs are authorized and outputs are independently tested or verified.</w:t>
      </w:r>
    </w:p>
    <w:p>
      <w:pPr>
        <w:pStyle w:val="ListParagraph"/>
        <w:numPr>
          <w:ilvl w:val="0"/>
          <w:numId w:val="13"/>
        </w:numPr>
      </w:pPr>
      <w:r>
        <w:t>Automating approved low-risk tasks within documented access, logging, retention, and human-oversight controls.</w:t>
      </w:r>
    </w:p>
    <w:p>
      <w:pPr>
        <w:pStyle w:val="Heading1"/>
      </w:pPr>
      <w:r>
        <w:t>Prohibited or restricted use</w:t>
      </w:r>
    </w:p>
    <w:p>
      <w:pPr>
        <w:pStyle w:val="ListParagraph"/>
        <w:numPr>
          <w:ilvl w:val="0"/>
          <w:numId w:val="14"/>
        </w:numPr>
      </w:pPr>
      <w:r>
        <w:t>Do not enter confidential, personal, regulated, privileged, export-controlled, customer-restricted, or security-sensitive information unless the exact tool, account, feature, purpose, and data handling are approved.</w:t>
      </w:r>
    </w:p>
    <w:p>
      <w:pPr>
        <w:pStyle w:val="ListParagraph"/>
        <w:numPr>
          <w:ilvl w:val="0"/>
          <w:numId w:val="14"/>
        </w:numPr>
      </w:pPr>
      <w:r>
        <w:t>Do not use AI as the sole decision-maker for employment, eligibility, credit, health, safety, legal rights, access, discipline, or another consequential decision.</w:t>
      </w:r>
    </w:p>
    <w:p>
      <w:pPr>
        <w:pStyle w:val="ListParagraph"/>
        <w:numPr>
          <w:ilvl w:val="0"/>
          <w:numId w:val="14"/>
        </w:numPr>
      </w:pPr>
      <w:r>
        <w:t>Do not bypass intellectual property, licensing, contract, confidentiality, security, records, procurement, or approval requirements.</w:t>
      </w:r>
    </w:p>
    <w:p>
      <w:pPr>
        <w:pStyle w:val="ListParagraph"/>
        <w:numPr>
          <w:ilvl w:val="0"/>
          <w:numId w:val="14"/>
        </w:numPr>
      </w:pPr>
      <w:r>
        <w:t>Do not create deceptive impersonations, fabricate evidence or citations, conceal material errors, or present unverified output as established fact.</w:t>
      </w:r>
    </w:p>
    <w:p>
      <w:pPr>
        <w:pStyle w:val="ListParagraph"/>
        <w:numPr>
          <w:ilvl w:val="0"/>
          <w:numId w:val="14"/>
        </w:numPr>
      </w:pPr>
      <w:r>
        <w:t>Do not connect unapproved tools, browser extensions, plug-ins, agents, APIs, or personal accounts to organizational systems or data.</w:t>
      </w:r>
    </w:p>
    <w:p>
      <w:pPr>
        <w:pStyle w:val="Heading1"/>
      </w:pPr>
      <w:r>
        <w:t>Human review and accountability</w:t>
      </w:r>
    </w:p>
    <w:p>
      <w:pPr/>
      <w:r>
        <w:t>The person using AI must apply a level of review proportionate to the possible harm. Review may include checking facts and sources, testing calculations or code, inspecting for bias or exclusion, confirming permissions and licenses, removing sensitive content, comparing against authoritative records, and obtaining a qualified approver. AI output must not replace a required professional judgment or approval.</w:t>
      </w:r>
    </w:p>
    <w:p>
      <w:r>
        <w:br w:type="page"/>
      </w:r>
    </w:p>
    <w:p>
      <w:pPr>
        <w:pStyle w:val="Heading1"/>
      </w:pPr>
      <w:r>
        <w:t>Roles and responsibilities</w:t>
      </w:r>
    </w:p>
    <w:tbl>
      <w:tblPr>
        <w:tblStyle w:val="TableGrid"/>
        <w:tblW w:type="dxa" w:w="9360"/>
        <w:tblLayout w:type="fixed"/>
        <w:tblLook w:firstColumn="1" w:firstRow="1" w:lastColumn="0" w:lastRow="0" w:noHBand="0" w:noVBand="1" w:val="04A0"/>
        <w:tblInd w:w="120" w:type="dxa"/>
      </w:tblPr>
      <w:tblGrid>
        <w:gridCol w:w="2100"/>
        <w:gridCol w:w="4860"/>
        <w:gridCol w:w="2400"/>
      </w:tblGrid>
      <w:tr>
        <w:trPr>
          <w:tblHeader w:val="true"/>
        </w:trPr>
        <w:tc>
          <w:tcPr>
            <w:tcW w:type="dxa" w:w="2100"/>
            <w:shd w:fill="351C27"/>
            <w:vAlign w:val="center"/>
            <w:tcMar>
              <w:top w:w="80" w:type="dxa"/>
              <w:bottom w:w="80" w:type="dxa"/>
              <w:start w:w="120" w:type="dxa"/>
              <w:end w:w="120" w:type="dxa"/>
            </w:tcMar>
          </w:tcPr>
          <w:p>
            <w:pPr>
              <w:spacing w:after="0"/>
              <w:jc w:val="left"/>
            </w:pPr>
            <w:r/>
            <w:r>
              <w:rPr>
                <w:rFonts w:ascii="Calibri" w:hAnsi="Calibri"/>
                <w:b/>
                <w:color w:val="FFFFFF"/>
                <w:sz w:val="19"/>
              </w:rPr>
              <w:t>Role</w:t>
            </w:r>
          </w:p>
        </w:tc>
        <w:tc>
          <w:tcPr>
            <w:tcW w:type="dxa" w:w="4860"/>
            <w:shd w:fill="351C27"/>
            <w:vAlign w:val="center"/>
            <w:tcMar>
              <w:top w:w="80" w:type="dxa"/>
              <w:bottom w:w="80" w:type="dxa"/>
              <w:start w:w="120" w:type="dxa"/>
              <w:end w:w="120" w:type="dxa"/>
            </w:tcMar>
          </w:tcPr>
          <w:p>
            <w:pPr>
              <w:spacing w:after="0"/>
              <w:jc w:val="left"/>
            </w:pPr>
            <w:r/>
            <w:r>
              <w:rPr>
                <w:rFonts w:ascii="Calibri" w:hAnsi="Calibri"/>
                <w:b/>
                <w:color w:val="FFFFFF"/>
                <w:sz w:val="19"/>
              </w:rPr>
              <w:t>Minimum responsibility</w:t>
            </w:r>
          </w:p>
        </w:tc>
        <w:tc>
          <w:tcPr>
            <w:tcW w:type="dxa" w:w="2400"/>
            <w:shd w:fill="351C27"/>
            <w:vAlign w:val="center"/>
            <w:tcMar>
              <w:top w:w="80" w:type="dxa"/>
              <w:bottom w:w="80" w:type="dxa"/>
              <w:start w:w="120" w:type="dxa"/>
              <w:end w:w="120" w:type="dxa"/>
            </w:tcMar>
          </w:tcPr>
          <w:p>
            <w:pPr>
              <w:spacing w:after="0"/>
              <w:jc w:val="left"/>
            </w:pPr>
            <w:r/>
            <w:r>
              <w:rPr>
                <w:rFonts w:ascii="Calibri" w:hAnsi="Calibri"/>
                <w:b/>
                <w:color w:val="FFFFFF"/>
                <w:sz w:val="19"/>
              </w:rPr>
              <w:t>Escalates to</w:t>
            </w:r>
          </w:p>
        </w:tc>
      </w:tr>
      <w:tr>
        <w:trPr>
          <w:cantSplit/>
        </w:trPr>
        <w:tc>
          <w:tcPr>
            <w:tcW w:type="dxa" w:w="21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All users</w:t>
            </w:r>
          </w:p>
        </w:tc>
        <w:tc>
          <w:tcPr>
            <w:tcW w:type="dxa" w:w="48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Follow approved-use rules, protect information, verify output, and report incidents</w:t>
            </w:r>
          </w:p>
        </w:tc>
        <w:tc>
          <w:tcPr>
            <w:tcW w:type="dxa" w:w="24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Manager or service desk</w:t>
            </w:r>
          </w:p>
        </w:tc>
      </w:tr>
      <w:tr>
        <w:trPr>
          <w:cantSplit/>
        </w:trPr>
        <w:tc>
          <w:tcPr>
            <w:tcW w:type="dxa" w:w="21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Managers</w:t>
            </w:r>
          </w:p>
        </w:tc>
        <w:tc>
          <w:tcPr>
            <w:tcW w:type="dxa" w:w="48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Confirm the use case, review level, training, and accountability are appropriate</w:t>
            </w:r>
          </w:p>
        </w:tc>
        <w:tc>
          <w:tcPr>
            <w:tcW w:type="dxa" w:w="24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Policy owner</w:t>
            </w:r>
          </w:p>
        </w:tc>
      </w:tr>
      <w:tr>
        <w:trPr>
          <w:cantSplit/>
        </w:trPr>
        <w:tc>
          <w:tcPr>
            <w:tcW w:type="dxa" w:w="21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Tool owner</w:t>
            </w:r>
          </w:p>
        </w:tc>
        <w:tc>
          <w:tcPr>
            <w:tcW w:type="dxa" w:w="48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Maintain approval, configuration, access, vendor review, monitoring, and retirement</w:t>
            </w:r>
          </w:p>
        </w:tc>
        <w:tc>
          <w:tcPr>
            <w:tcW w:type="dxa" w:w="24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Security and Privacy</w:t>
            </w:r>
          </w:p>
        </w:tc>
      </w:tr>
      <w:tr>
        <w:trPr>
          <w:cantSplit/>
        </w:trPr>
        <w:tc>
          <w:tcPr>
            <w:tcW w:type="dxa" w:w="21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Policy owner</w:t>
            </w:r>
          </w:p>
        </w:tc>
        <w:tc>
          <w:tcPr>
            <w:tcW w:type="dxa" w:w="48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Maintain this policy, exceptions, training, and scheduled review</w:t>
            </w:r>
          </w:p>
        </w:tc>
        <w:tc>
          <w:tcPr>
            <w:tcW w:type="dxa" w:w="24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Executive sponsor</w:t>
            </w:r>
          </w:p>
        </w:tc>
      </w:tr>
    </w:tbl>
    <w:p>
      <w:pPr>
        <w:spacing w:after="60"/>
      </w:pPr>
    </w:p>
    <w:p>
      <w:pPr>
        <w:pStyle w:val="Heading1"/>
      </w:pPr>
      <w:r>
        <w:t>Data, confidentiality, and security</w:t>
      </w:r>
    </w:p>
    <w:p>
      <w:pPr>
        <w:pStyle w:val="ListParagraph"/>
        <w:numPr>
          <w:ilvl w:val="0"/>
          <w:numId w:val="15"/>
        </w:numPr>
      </w:pPr>
      <w:r>
        <w:t>Classify information before entering it into an AI tool. When uncertain, do not submit it and ask the appropriate data, privacy, security, legal, or customer owner.</w:t>
      </w:r>
    </w:p>
    <w:p>
      <w:pPr>
        <w:pStyle w:val="ListParagraph"/>
        <w:numPr>
          <w:ilvl w:val="0"/>
          <w:numId w:val="15"/>
        </w:numPr>
      </w:pPr>
      <w:r>
        <w:t>Use organizational accounts and approved configurations. Do not assume a consumer account provides the same retention, training, access, deletion, residency, or contractual protections.</w:t>
      </w:r>
    </w:p>
    <w:p>
      <w:pPr>
        <w:pStyle w:val="ListParagraph"/>
        <w:numPr>
          <w:ilvl w:val="0"/>
          <w:numId w:val="15"/>
        </w:numPr>
      </w:pPr>
      <w:r>
        <w:t>Grant the minimum access needed, review connected data sources and plug-ins, and remove access when the purpose ends.</w:t>
      </w:r>
    </w:p>
    <w:p>
      <w:pPr>
        <w:pStyle w:val="ListParagraph"/>
        <w:numPr>
          <w:ilvl w:val="0"/>
          <w:numId w:val="15"/>
        </w:numPr>
      </w:pPr>
      <w:r>
        <w:t>Treat prompts, uploaded files, retrieved context, outputs, logs, and exported artifacts according to the applicable classification and retention rules.</w:t>
      </w:r>
    </w:p>
    <w:p>
      <w:pPr>
        <w:pStyle w:val="Heading1"/>
      </w:pPr>
      <w:r>
        <w:t>Accuracy, attribution, and intellectual property</w:t>
      </w:r>
    </w:p>
    <w:p>
      <w:pPr/>
      <w:r>
        <w:t>Users must verify material facts, calculations, citations, quotations, legal references, code behavior, and conclusions against reliable sources. Confirm the organization has permission to use both the inputs and outputs. Do not request or reuse protected content in a way that violates applicable law, license terms, contracts, policy, or professional obligations.</w:t>
      </w:r>
    </w:p>
    <w:p>
      <w:pPr>
        <w:pStyle w:val="Heading1"/>
      </w:pPr>
      <w:r>
        <w:t>Transparency and disclosure</w:t>
      </w:r>
    </w:p>
    <w:p>
      <w:pPr/>
      <w:r>
        <w:t>Disclose material AI assistance when required by law, contract, customer terms, publication rules, professional standards, or organizational policy. Do not describe AI output as independently researched, tested, reviewed, or authored when that description would be misleading. The accountable human owner must remain identifiable.</w:t>
      </w:r>
    </w:p>
    <w:p>
      <w:pPr>
        <w:pStyle w:val="Heading1"/>
      </w:pPr>
      <w:r>
        <w:t>Incidents, errors, and records</w:t>
      </w:r>
    </w:p>
    <w:p>
      <w:pPr>
        <w:pStyle w:val="ListParagraph"/>
        <w:numPr>
          <w:ilvl w:val="0"/>
          <w:numId w:val="16"/>
        </w:numPr>
      </w:pPr>
      <w:r>
        <w:t>Stop the affected use and preserve relevant evidence when sensitive data may have been exposed, access may be unauthorized, or output may cause harm.</w:t>
      </w:r>
    </w:p>
    <w:p>
      <w:pPr>
        <w:pStyle w:val="ListParagraph"/>
        <w:numPr>
          <w:ilvl w:val="0"/>
          <w:numId w:val="16"/>
        </w:numPr>
      </w:pPr>
      <w:r>
        <w:t>Report the event through the approved security, privacy, legal, quality, customer, or operational channel without waiting for certainty.</w:t>
      </w:r>
    </w:p>
    <w:p>
      <w:pPr>
        <w:pStyle w:val="ListParagraph"/>
        <w:numPr>
          <w:ilvl w:val="0"/>
          <w:numId w:val="16"/>
        </w:numPr>
      </w:pPr>
      <w:r>
        <w:t>Correct or withdraw inaccurate material when feasible and notify affected owners according to the incident process.</w:t>
      </w:r>
    </w:p>
    <w:p>
      <w:pPr>
        <w:pStyle w:val="ListParagraph"/>
        <w:numPr>
          <w:ilvl w:val="0"/>
          <w:numId w:val="16"/>
        </w:numPr>
      </w:pPr>
      <w:r>
        <w:t>Retain prompts, approvals, outputs, disclosures, or review evidence when required by records policy, law, contract, audit, or the approved use case.</w:t>
      </w:r>
    </w:p>
    <w:p>
      <w:pPr>
        <w:pStyle w:val="Heading1"/>
      </w:pPr>
      <w:r>
        <w:t>Exceptions</w:t>
      </w:r>
    </w:p>
    <w:p>
      <w:pPr>
        <w:pStyle w:val="Quote"/>
        <w:spacing w:before="160" w:after="240"/>
        <w:shd w:fill="F6EDEF"/>
        <w:pBdr>
          <w:left w:val="single" w:sz="18" w:space="8" w:color="7A3E52"/>
        </w:pBdr>
      </w:pPr>
      <w:r>
        <w:rPr>
          <w:rFonts w:ascii="Calibri" w:hAnsi="Calibri"/>
          <w:b/>
          <w:color w:val="351C27"/>
          <w:sz w:val="22"/>
        </w:rPr>
        <w:t xml:space="preserve">Written approval: </w:t>
      </w:r>
      <w:r>
        <w:rPr>
          <w:rFonts w:ascii="Calibri" w:hAnsi="Calibri"/>
          <w:color w:val="351C27"/>
          <w:sz w:val="22"/>
        </w:rPr>
        <w:t>An exception must identify the business need, tool, information, users, controls, duration, accountable owner, and approving authorities. Expired exceptions do not renew automatically.</w:t>
      </w:r>
    </w:p>
    <w:p>
      <w:pPr>
        <w:pStyle w:val="Heading1"/>
      </w:pPr>
      <w:r>
        <w:t>Approved tools and data-handling register</w:t>
      </w:r>
    </w:p>
    <w:tbl>
      <w:tblPr>
        <w:tblStyle w:val="TableGrid"/>
        <w:tblW w:type="dxa" w:w="9360"/>
        <w:tblLayout w:type="fixed"/>
        <w:tblLook w:firstColumn="1" w:firstRow="1" w:lastColumn="0" w:lastRow="0" w:noHBand="0" w:noVBand="1" w:val="04A0"/>
        <w:tblInd w:w="120" w:type="dxa"/>
      </w:tblPr>
      <w:tblGrid>
        <w:gridCol w:w="2400"/>
        <w:gridCol w:w="2460"/>
        <w:gridCol w:w="2500"/>
        <w:gridCol w:w="2000"/>
      </w:tblGrid>
      <w:tr>
        <w:trPr>
          <w:tblHeader w:val="true"/>
        </w:trPr>
        <w:tc>
          <w:tcPr>
            <w:tcW w:type="dxa" w:w="2400"/>
            <w:shd w:fill="351C27"/>
            <w:vAlign w:val="center"/>
            <w:tcMar>
              <w:top w:w="80" w:type="dxa"/>
              <w:bottom w:w="80" w:type="dxa"/>
              <w:start w:w="120" w:type="dxa"/>
              <w:end w:w="120" w:type="dxa"/>
            </w:tcMar>
          </w:tcPr>
          <w:p>
            <w:pPr>
              <w:spacing w:after="0"/>
              <w:jc w:val="left"/>
            </w:pPr>
            <w:r/>
            <w:r>
              <w:rPr>
                <w:rFonts w:ascii="Calibri" w:hAnsi="Calibri"/>
                <w:b/>
                <w:color w:val="FFFFFF"/>
                <w:sz w:val="19"/>
              </w:rPr>
              <w:t>Tool or service</w:t>
            </w:r>
          </w:p>
        </w:tc>
        <w:tc>
          <w:tcPr>
            <w:tcW w:type="dxa" w:w="2460"/>
            <w:shd w:fill="351C27"/>
            <w:vAlign w:val="center"/>
            <w:tcMar>
              <w:top w:w="80" w:type="dxa"/>
              <w:bottom w:w="80" w:type="dxa"/>
              <w:start w:w="120" w:type="dxa"/>
              <w:end w:w="120" w:type="dxa"/>
            </w:tcMar>
          </w:tcPr>
          <w:p>
            <w:pPr>
              <w:spacing w:after="0"/>
              <w:jc w:val="left"/>
            </w:pPr>
            <w:r/>
            <w:r>
              <w:rPr>
                <w:rFonts w:ascii="Calibri" w:hAnsi="Calibri"/>
                <w:b/>
                <w:color w:val="FFFFFF"/>
                <w:sz w:val="19"/>
              </w:rPr>
              <w:t>Approved use</w:t>
            </w:r>
          </w:p>
        </w:tc>
        <w:tc>
          <w:tcPr>
            <w:tcW w:type="dxa" w:w="2500"/>
            <w:shd w:fill="351C27"/>
            <w:vAlign w:val="center"/>
            <w:tcMar>
              <w:top w:w="80" w:type="dxa"/>
              <w:bottom w:w="80" w:type="dxa"/>
              <w:start w:w="120" w:type="dxa"/>
              <w:end w:w="120" w:type="dxa"/>
            </w:tcMar>
          </w:tcPr>
          <w:p>
            <w:pPr>
              <w:spacing w:after="0"/>
              <w:jc w:val="left"/>
            </w:pPr>
            <w:r/>
            <w:r>
              <w:rPr>
                <w:rFonts w:ascii="Calibri" w:hAnsi="Calibri"/>
                <w:b/>
                <w:color w:val="FFFFFF"/>
                <w:sz w:val="19"/>
              </w:rPr>
              <w:t>Allowed information</w:t>
            </w:r>
          </w:p>
        </w:tc>
        <w:tc>
          <w:tcPr>
            <w:tcW w:type="dxa" w:w="2000"/>
            <w:shd w:fill="351C27"/>
            <w:vAlign w:val="center"/>
            <w:tcMar>
              <w:top w:w="80" w:type="dxa"/>
              <w:bottom w:w="80" w:type="dxa"/>
              <w:start w:w="120" w:type="dxa"/>
              <w:end w:w="120" w:type="dxa"/>
            </w:tcMar>
          </w:tcPr>
          <w:p>
            <w:pPr>
              <w:spacing w:after="0"/>
              <w:jc w:val="left"/>
            </w:pPr>
            <w:r/>
            <w:r>
              <w:rPr>
                <w:rFonts w:ascii="Calibri" w:hAnsi="Calibri"/>
                <w:b/>
                <w:color w:val="FFFFFF"/>
                <w:sz w:val="19"/>
              </w:rPr>
              <w:t>Owner and review</w:t>
            </w:r>
          </w:p>
        </w:tc>
      </w:tr>
      <w:tr>
        <w:trPr>
          <w:cantSplit/>
        </w:trPr>
        <w:tc>
          <w:tcPr>
            <w:tcW w:type="dxa" w:w="24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[Approved enterprise assistant]</w:t>
            </w:r>
          </w:p>
        </w:tc>
        <w:tc>
          <w:tcPr>
            <w:tcW w:type="dxa" w:w="24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Drafting and summarizing</w:t>
            </w:r>
          </w:p>
        </w:tc>
        <w:tc>
          <w:tcPr>
            <w:tcW w:type="dxa" w:w="25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Public and approved internal data</w:t>
            </w:r>
          </w:p>
        </w:tc>
        <w:tc>
          <w:tcPr>
            <w:tcW w:type="dxa" w:w="20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IT owner | Review date</w:t>
            </w:r>
          </w:p>
        </w:tc>
      </w:tr>
      <w:tr>
        <w:trPr>
          <w:cantSplit/>
        </w:trPr>
        <w:tc>
          <w:tcPr>
            <w:tcW w:type="dxa" w:w="24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[Approved coding assistant]</w:t>
            </w:r>
          </w:p>
        </w:tc>
        <w:tc>
          <w:tcPr>
            <w:tcW w:type="dxa" w:w="24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Code suggestions and explanation</w:t>
            </w:r>
          </w:p>
        </w:tc>
        <w:tc>
          <w:tcPr>
            <w:tcW w:type="dxa" w:w="25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Approved repositories only</w:t>
            </w:r>
          </w:p>
        </w:tc>
        <w:tc>
          <w:tcPr>
            <w:tcW w:type="dxa" w:w="20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Engineering owner | Review date</w:t>
            </w:r>
          </w:p>
        </w:tc>
      </w:tr>
    </w:tbl>
    <w:p>
      <w:pPr>
        <w:spacing w:after="60"/>
      </w:pPr>
    </w:p>
    <w:p>
      <w:pPr>
        <w:pStyle w:val="Heading1"/>
      </w:pPr>
      <w:r>
        <w:t>Acknowledgement and training</w:t>
      </w:r>
    </w:p>
    <w:tbl>
      <w:tblPr>
        <w:tblStyle w:val="TableGrid"/>
        <w:tblW w:type="dxa" w:w="9360"/>
        <w:tblLayout w:type="fixed"/>
        <w:tblLook w:firstColumn="1" w:firstRow="1" w:lastColumn="0" w:lastRow="0" w:noHBand="0" w:noVBand="1" w:val="04A0"/>
        <w:tblInd w:w="120" w:type="dxa"/>
      </w:tblPr>
      <w:tblGrid>
        <w:gridCol w:w="2900"/>
        <w:gridCol w:w="2300"/>
        <w:gridCol w:w="1960"/>
        <w:gridCol w:w="2200"/>
      </w:tblGrid>
      <w:tr>
        <w:trPr>
          <w:tblHeader w:val="true"/>
        </w:trPr>
        <w:tc>
          <w:tcPr>
            <w:tcW w:type="dxa" w:w="2900"/>
            <w:shd w:fill="351C27"/>
            <w:vAlign w:val="center"/>
            <w:tcMar>
              <w:top w:w="80" w:type="dxa"/>
              <w:bottom w:w="80" w:type="dxa"/>
              <w:start w:w="120" w:type="dxa"/>
              <w:end w:w="120" w:type="dxa"/>
            </w:tcMar>
          </w:tcPr>
          <w:p>
            <w:pPr>
              <w:spacing w:after="0"/>
              <w:jc w:val="left"/>
            </w:pPr>
            <w:r/>
            <w:r>
              <w:rPr>
                <w:rFonts w:ascii="Calibri" w:hAnsi="Calibri"/>
                <w:b/>
                <w:color w:val="FFFFFF"/>
                <w:sz w:val="19"/>
              </w:rPr>
              <w:t>Requirement</w:t>
            </w:r>
          </w:p>
        </w:tc>
        <w:tc>
          <w:tcPr>
            <w:tcW w:type="dxa" w:w="2300"/>
            <w:shd w:fill="351C27"/>
            <w:vAlign w:val="center"/>
            <w:tcMar>
              <w:top w:w="80" w:type="dxa"/>
              <w:bottom w:w="80" w:type="dxa"/>
              <w:start w:w="120" w:type="dxa"/>
              <w:end w:w="120" w:type="dxa"/>
            </w:tcMar>
          </w:tcPr>
          <w:p>
            <w:pPr>
              <w:spacing w:after="0"/>
              <w:jc w:val="left"/>
            </w:pPr>
            <w:r/>
            <w:r>
              <w:rPr>
                <w:rFonts w:ascii="Calibri" w:hAnsi="Calibri"/>
                <w:b/>
                <w:color w:val="FFFFFF"/>
                <w:sz w:val="19"/>
              </w:rPr>
              <w:t>Evidence</w:t>
            </w:r>
          </w:p>
        </w:tc>
        <w:tc>
          <w:tcPr>
            <w:tcW w:type="dxa" w:w="1960"/>
            <w:shd w:fill="351C27"/>
            <w:vAlign w:val="center"/>
            <w:tcMar>
              <w:top w:w="80" w:type="dxa"/>
              <w:bottom w:w="80" w:type="dxa"/>
              <w:start w:w="120" w:type="dxa"/>
              <w:end w:w="120" w:type="dxa"/>
            </w:tcMar>
          </w:tcPr>
          <w:p>
            <w:pPr>
              <w:spacing w:after="0"/>
              <w:jc w:val="left"/>
            </w:pPr>
            <w:r/>
            <w:r>
              <w:rPr>
                <w:rFonts w:ascii="Calibri" w:hAnsi="Calibri"/>
                <w:b/>
                <w:color w:val="FFFFFF"/>
                <w:sz w:val="19"/>
              </w:rPr>
              <w:t>Owner</w:t>
            </w:r>
          </w:p>
        </w:tc>
        <w:tc>
          <w:tcPr>
            <w:tcW w:type="dxa" w:w="2200"/>
            <w:shd w:fill="351C27"/>
            <w:vAlign w:val="center"/>
            <w:tcMar>
              <w:top w:w="80" w:type="dxa"/>
              <w:bottom w:w="80" w:type="dxa"/>
              <w:start w:w="120" w:type="dxa"/>
              <w:end w:w="120" w:type="dxa"/>
            </w:tcMar>
          </w:tcPr>
          <w:p>
            <w:pPr>
              <w:spacing w:after="0"/>
              <w:jc w:val="left"/>
            </w:pPr>
            <w:r/>
            <w:r>
              <w:rPr>
                <w:rFonts w:ascii="Calibri" w:hAnsi="Calibri"/>
                <w:b/>
                <w:color w:val="FFFFFF"/>
                <w:sz w:val="19"/>
              </w:rPr>
              <w:t>Renewal</w:t>
            </w:r>
          </w:p>
        </w:tc>
      </w:tr>
      <w:tr>
        <w:trPr>
          <w:cantSplit/>
        </w:trPr>
        <w:tc>
          <w:tcPr>
            <w:tcW w:type="dxa" w:w="29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Policy acknowledgement</w:t>
            </w:r>
          </w:p>
        </w:tc>
        <w:tc>
          <w:tcPr>
            <w:tcW w:type="dxa" w:w="23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Recorded acknowledgement</w:t>
            </w:r>
          </w:p>
        </w:tc>
        <w:tc>
          <w:tcPr>
            <w:tcW w:type="dxa" w:w="19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People Operations</w:t>
            </w:r>
          </w:p>
        </w:tc>
        <w:tc>
          <w:tcPr>
            <w:tcW w:type="dxa" w:w="22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At adoption and material change</w:t>
            </w:r>
          </w:p>
        </w:tc>
      </w:tr>
      <w:tr>
        <w:trPr>
          <w:cantSplit/>
        </w:trPr>
        <w:tc>
          <w:tcPr>
            <w:tcW w:type="dxa" w:w="29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Role-appropriate training</w:t>
            </w:r>
          </w:p>
        </w:tc>
        <w:tc>
          <w:tcPr>
            <w:tcW w:type="dxa" w:w="23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Training completion</w:t>
            </w:r>
          </w:p>
        </w:tc>
        <w:tc>
          <w:tcPr>
            <w:tcW w:type="dxa" w:w="19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Manager</w:t>
            </w:r>
          </w:p>
        </w:tc>
        <w:tc>
          <w:tcPr>
            <w:tcW w:type="dxa" w:w="22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At least annually</w:t>
            </w:r>
          </w:p>
        </w:tc>
      </w:tr>
    </w:tbl>
    <w:p>
      <w:pPr>
        <w:spacing w:after="60"/>
      </w:pPr>
    </w:p>
    <w:p>
      <w:r>
        <w:br w:type="page"/>
      </w:r>
    </w:p>
    <w:p>
      <w:pPr>
        <w:pStyle w:val="Heading1"/>
      </w:pPr>
      <w:r>
        <w:t>Adoption checklist</w:t>
      </w:r>
    </w:p>
    <w:p>
      <w:pPr>
        <w:pStyle w:val="ListParagraph"/>
        <w:numPr>
          <w:ilvl w:val="0"/>
          <w:numId w:val="17"/>
        </w:numPr>
      </w:pPr>
      <w:r>
        <w:t>Replace every bracketed field, sample owner, use rule, tool, data class, reporting route, approval, and review date.</w:t>
      </w:r>
    </w:p>
    <w:p>
      <w:pPr>
        <w:pStyle w:val="ListParagraph"/>
        <w:numPr>
          <w:ilvl w:val="0"/>
          <w:numId w:val="17"/>
        </w:numPr>
      </w:pPr>
      <w:r>
        <w:t>Reconcile the policy with related requirements and obtain all applicable legal, privacy, security, employment, records, accessibility, workforce, customer, and regulatory reviews.</w:t>
      </w:r>
    </w:p>
    <w:p>
      <w:pPr>
        <w:pStyle w:val="ListParagraph"/>
        <w:numPr>
          <w:ilvl w:val="0"/>
          <w:numId w:val="17"/>
        </w:numPr>
      </w:pPr>
      <w:r>
        <w:t>Publish the approved policy, train affected people, record acknowledgement where required, and maintain an accessible current version.</w:t>
      </w:r>
    </w:p>
    <w:p>
      <w:pPr>
        <w:pStyle w:val="Heading1"/>
      </w:pPr>
      <w:r>
        <w:t>Approval record</w:t>
      </w:r>
    </w:p>
    <w:tbl>
      <w:tblPr>
        <w:tblStyle w:val="TableGrid"/>
        <w:tblW w:type="dxa" w:w="9360"/>
        <w:tblLayout w:type="fixed"/>
        <w:tblLook w:firstColumn="1" w:firstRow="1" w:lastColumn="0" w:lastRow="0" w:noHBand="0" w:noVBand="1" w:val="04A0"/>
        <w:tblInd w:w="120" w:type="dxa"/>
      </w:tblPr>
      <w:tblGrid>
        <w:gridCol w:w="2900"/>
        <w:gridCol w:w="2260"/>
        <w:gridCol w:w="2400"/>
        <w:gridCol w:w="1800"/>
      </w:tblGrid>
      <w:tr>
        <w:trPr>
          <w:tblHeader w:val="true"/>
        </w:trPr>
        <w:tc>
          <w:tcPr>
            <w:tcW w:type="dxa" w:w="2900"/>
            <w:shd w:fill="351C27"/>
            <w:vAlign w:val="center"/>
            <w:tcMar>
              <w:top w:w="80" w:type="dxa"/>
              <w:bottom w:w="80" w:type="dxa"/>
              <w:start w:w="120" w:type="dxa"/>
              <w:end w:w="120" w:type="dxa"/>
            </w:tcMar>
          </w:tcPr>
          <w:p>
            <w:pPr>
              <w:spacing w:after="0"/>
              <w:jc w:val="left"/>
            </w:pPr>
            <w:r/>
            <w:r>
              <w:rPr>
                <w:rFonts w:ascii="Calibri" w:hAnsi="Calibri"/>
                <w:b/>
                <w:color w:val="FFFFFF"/>
                <w:sz w:val="19"/>
              </w:rPr>
              <w:t>Review role</w:t>
            </w:r>
          </w:p>
        </w:tc>
        <w:tc>
          <w:tcPr>
            <w:tcW w:type="dxa" w:w="2260"/>
            <w:shd w:fill="351C27"/>
            <w:vAlign w:val="center"/>
            <w:tcMar>
              <w:top w:w="80" w:type="dxa"/>
              <w:bottom w:w="80" w:type="dxa"/>
              <w:start w:w="120" w:type="dxa"/>
              <w:end w:w="120" w:type="dxa"/>
            </w:tcMar>
          </w:tcPr>
          <w:p>
            <w:pPr>
              <w:spacing w:after="0"/>
              <w:jc w:val="left"/>
            </w:pPr>
            <w:r/>
            <w:r>
              <w:rPr>
                <w:rFonts w:ascii="Calibri" w:hAnsi="Calibri"/>
                <w:b/>
                <w:color w:val="FFFFFF"/>
                <w:sz w:val="19"/>
              </w:rPr>
              <w:t>Name</w:t>
            </w:r>
          </w:p>
        </w:tc>
        <w:tc>
          <w:tcPr>
            <w:tcW w:type="dxa" w:w="2400"/>
            <w:shd w:fill="351C27"/>
            <w:vAlign w:val="center"/>
            <w:tcMar>
              <w:top w:w="80" w:type="dxa"/>
              <w:bottom w:w="80" w:type="dxa"/>
              <w:start w:w="120" w:type="dxa"/>
              <w:end w:w="120" w:type="dxa"/>
            </w:tcMar>
          </w:tcPr>
          <w:p>
            <w:pPr>
              <w:spacing w:after="0"/>
              <w:jc w:val="left"/>
            </w:pPr>
            <w:r/>
            <w:r>
              <w:rPr>
                <w:rFonts w:ascii="Calibri" w:hAnsi="Calibri"/>
                <w:b/>
                <w:color w:val="FFFFFF"/>
                <w:sz w:val="19"/>
              </w:rPr>
              <w:t>Decision</w:t>
            </w:r>
          </w:p>
        </w:tc>
        <w:tc>
          <w:tcPr>
            <w:tcW w:type="dxa" w:w="1800"/>
            <w:shd w:fill="351C27"/>
            <w:vAlign w:val="center"/>
            <w:tcMar>
              <w:top w:w="80" w:type="dxa"/>
              <w:bottom w:w="80" w:type="dxa"/>
              <w:start w:w="120" w:type="dxa"/>
              <w:end w:w="120" w:type="dxa"/>
            </w:tcMar>
          </w:tcPr>
          <w:p>
            <w:pPr>
              <w:spacing w:after="0"/>
              <w:jc w:val="left"/>
            </w:pPr>
            <w:r/>
            <w:r>
              <w:rPr>
                <w:rFonts w:ascii="Calibri" w:hAnsi="Calibri"/>
                <w:b/>
                <w:color w:val="FFFFFF"/>
                <w:sz w:val="19"/>
              </w:rPr>
              <w:t>Date</w:t>
            </w:r>
          </w:p>
        </w:tc>
      </w:tr>
      <w:tr>
        <w:trPr>
          <w:cantSplit/>
        </w:trPr>
        <w:tc>
          <w:tcPr>
            <w:tcW w:type="dxa" w:w="29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Policy owner</w:t>
            </w:r>
          </w:p>
        </w:tc>
        <w:tc>
          <w:tcPr>
            <w:tcW w:type="dxa" w:w="22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[Name]</w:t>
            </w:r>
          </w:p>
        </w:tc>
        <w:tc>
          <w:tcPr>
            <w:tcW w:type="dxa" w:w="24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 or revise]</w:t>
            </w:r>
          </w:p>
        </w:tc>
        <w:tc>
          <w:tcPr>
            <w:tcW w:type="dxa" w:w="18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[Date]</w:t>
            </w:r>
          </w:p>
        </w:tc>
      </w:tr>
      <w:tr>
        <w:trPr>
          <w:cantSplit/>
        </w:trPr>
        <w:tc>
          <w:tcPr>
            <w:tcW w:type="dxa" w:w="29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Legal, Privacy, and Security</w:t>
            </w:r>
          </w:p>
        </w:tc>
        <w:tc>
          <w:tcPr>
            <w:tcW w:type="dxa" w:w="22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[Reviewer names]</w:t>
            </w:r>
          </w:p>
        </w:tc>
        <w:tc>
          <w:tcPr>
            <w:tcW w:type="dxa" w:w="24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 or revise]</w:t>
            </w:r>
          </w:p>
        </w:tc>
        <w:tc>
          <w:tcPr>
            <w:tcW w:type="dxa" w:w="18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[Date]</w:t>
            </w:r>
          </w:p>
        </w:tc>
      </w:tr>
      <w:tr>
        <w:trPr>
          <w:cantSplit/>
        </w:trPr>
        <w:tc>
          <w:tcPr>
            <w:tcW w:type="dxa" w:w="29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Executive sponsor</w:t>
            </w:r>
          </w:p>
        </w:tc>
        <w:tc>
          <w:tcPr>
            <w:tcW w:type="dxa" w:w="22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[Name]</w:t>
            </w:r>
          </w:p>
        </w:tc>
        <w:tc>
          <w:tcPr>
            <w:tcW w:type="dxa" w:w="24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 or revise]</w:t>
            </w:r>
          </w:p>
        </w:tc>
        <w:tc>
          <w:tcPr>
            <w:tcW w:type="dxa" w:w="18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[Date]</w:t>
            </w:r>
          </w:p>
        </w:tc>
      </w:tr>
    </w:tbl>
    <w:p>
      <w:pPr>
        <w:spacing w:after="60"/>
      </w:pPr>
    </w:p>
    <w:p>
      <w:pPr>
        <w:pStyle w:val="Heading1"/>
      </w:pPr>
      <w:r>
        <w:t>Revision history</w:t>
      </w:r>
    </w:p>
    <w:tbl>
      <w:tblPr>
        <w:tblStyle w:val="TableGrid"/>
        <w:tblW w:type="dxa" w:w="9360"/>
        <w:tblLayout w:type="fixed"/>
        <w:tblLook w:firstColumn="1" w:firstRow="1" w:lastColumn="0" w:lastRow="0" w:noHBand="0" w:noVBand="1" w:val="04A0"/>
        <w:tblInd w:w="120" w:type="dxa"/>
      </w:tblPr>
      <w:tblGrid>
        <w:gridCol w:w="1100"/>
        <w:gridCol w:w="1600"/>
        <w:gridCol w:w="3260"/>
        <w:gridCol w:w="1700"/>
        <w:gridCol w:w="1700"/>
      </w:tblGrid>
      <w:tr>
        <w:trPr>
          <w:tblHeader w:val="true"/>
        </w:trPr>
        <w:tc>
          <w:tcPr>
            <w:tcW w:type="dxa" w:w="1100"/>
            <w:shd w:fill="351C27"/>
            <w:vAlign w:val="center"/>
            <w:tcMar>
              <w:top w:w="80" w:type="dxa"/>
              <w:bottom w:w="80" w:type="dxa"/>
              <w:start w:w="120" w:type="dxa"/>
              <w:end w:w="120" w:type="dxa"/>
            </w:tcMar>
          </w:tcPr>
          <w:p>
            <w:pPr>
              <w:spacing w:after="0"/>
              <w:jc w:val="left"/>
            </w:pPr>
            <w:r/>
            <w:r>
              <w:rPr>
                <w:rFonts w:ascii="Calibri" w:hAnsi="Calibri"/>
                <w:b/>
                <w:color w:val="FFFFFF"/>
                <w:sz w:val="19"/>
              </w:rPr>
              <w:t>Version</w:t>
            </w:r>
          </w:p>
        </w:tc>
        <w:tc>
          <w:tcPr>
            <w:tcW w:type="dxa" w:w="1600"/>
            <w:shd w:fill="351C27"/>
            <w:vAlign w:val="center"/>
            <w:tcMar>
              <w:top w:w="80" w:type="dxa"/>
              <w:bottom w:w="80" w:type="dxa"/>
              <w:start w:w="120" w:type="dxa"/>
              <w:end w:w="120" w:type="dxa"/>
            </w:tcMar>
          </w:tcPr>
          <w:p>
            <w:pPr>
              <w:spacing w:after="0"/>
              <w:jc w:val="left"/>
            </w:pPr>
            <w:r/>
            <w:r>
              <w:rPr>
                <w:rFonts w:ascii="Calibri" w:hAnsi="Calibri"/>
                <w:b/>
                <w:color w:val="FFFFFF"/>
                <w:sz w:val="19"/>
              </w:rPr>
              <w:t>Date</w:t>
            </w:r>
          </w:p>
        </w:tc>
        <w:tc>
          <w:tcPr>
            <w:tcW w:type="dxa" w:w="3260"/>
            <w:shd w:fill="351C27"/>
            <w:vAlign w:val="center"/>
            <w:tcMar>
              <w:top w:w="80" w:type="dxa"/>
              <w:bottom w:w="80" w:type="dxa"/>
              <w:start w:w="120" w:type="dxa"/>
              <w:end w:w="120" w:type="dxa"/>
            </w:tcMar>
          </w:tcPr>
          <w:p>
            <w:pPr>
              <w:spacing w:after="0"/>
              <w:jc w:val="left"/>
            </w:pPr>
            <w:r/>
            <w:r>
              <w:rPr>
                <w:rFonts w:ascii="Calibri" w:hAnsi="Calibri"/>
                <w:b/>
                <w:color w:val="FFFFFF"/>
                <w:sz w:val="19"/>
              </w:rPr>
              <w:t>Change</w:t>
            </w:r>
          </w:p>
        </w:tc>
        <w:tc>
          <w:tcPr>
            <w:tcW w:type="dxa" w:w="1700"/>
            <w:shd w:fill="351C27"/>
            <w:vAlign w:val="center"/>
            <w:tcMar>
              <w:top w:w="80" w:type="dxa"/>
              <w:bottom w:w="80" w:type="dxa"/>
              <w:start w:w="120" w:type="dxa"/>
              <w:end w:w="120" w:type="dxa"/>
            </w:tcMar>
          </w:tcPr>
          <w:p>
            <w:pPr>
              <w:spacing w:after="0"/>
              <w:jc w:val="left"/>
            </w:pPr>
            <w:r/>
            <w:r>
              <w:rPr>
                <w:rFonts w:ascii="Calibri" w:hAnsi="Calibri"/>
                <w:b/>
                <w:color w:val="FFFFFF"/>
                <w:sz w:val="19"/>
              </w:rPr>
              <w:t>Owner</w:t>
            </w:r>
          </w:p>
        </w:tc>
        <w:tc>
          <w:tcPr>
            <w:tcW w:type="dxa" w:w="1700"/>
            <w:shd w:fill="351C27"/>
            <w:vAlign w:val="center"/>
            <w:tcMar>
              <w:top w:w="80" w:type="dxa"/>
              <w:bottom w:w="80" w:type="dxa"/>
              <w:start w:w="120" w:type="dxa"/>
              <w:end w:w="120" w:type="dxa"/>
            </w:tcMar>
          </w:tcPr>
          <w:p>
            <w:pPr>
              <w:spacing w:after="0"/>
              <w:jc w:val="left"/>
            </w:pPr>
            <w:r/>
            <w:r>
              <w:rPr>
                <w:rFonts w:ascii="Calibri" w:hAnsi="Calibri"/>
                <w:b/>
                <w:color w:val="FFFFFF"/>
                <w:sz w:val="19"/>
              </w:rPr>
              <w:t>Approval</w:t>
            </w:r>
          </w:p>
        </w:tc>
      </w:tr>
      <w:tr>
        <w:trPr>
          <w:cantSplit/>
        </w:trPr>
        <w:tc>
          <w:tcPr>
            <w:tcW w:type="dxa" w:w="11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0.1</w:t>
            </w:r>
          </w:p>
        </w:tc>
        <w:tc>
          <w:tcPr>
            <w:tcW w:type="dxa" w:w="16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Aug. 2026</w:t>
            </w:r>
          </w:p>
        </w:tc>
        <w:tc>
          <w:tcPr>
            <w:tcW w:type="dxa" w:w="32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Initial starter draft</w:t>
            </w:r>
          </w:p>
        </w:tc>
        <w:tc>
          <w:tcPr>
            <w:tcW w:type="dxa" w:w="1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Policy owner</w:t>
            </w:r>
          </w:p>
        </w:tc>
        <w:tc>
          <w:tcPr>
            <w:tcW w:type="dxa" w:w="1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Draft</w:t>
            </w:r>
          </w:p>
        </w:tc>
      </w:tr>
      <w:tr>
        <w:trPr>
          <w:cantSplit/>
        </w:trPr>
        <w:tc>
          <w:tcPr>
            <w:tcW w:type="dxa" w:w="11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1.0</w:t>
            </w:r>
          </w:p>
        </w:tc>
        <w:tc>
          <w:tcPr>
            <w:tcW w:type="dxa" w:w="16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[Date]</w:t>
            </w:r>
          </w:p>
        </w:tc>
        <w:tc>
          <w:tcPr>
            <w:tcW w:type="dxa" w:w="326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Approved organization-specific policy</w:t>
            </w:r>
          </w:p>
        </w:tc>
        <w:tc>
          <w:tcPr>
            <w:tcW w:type="dxa" w:w="17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[Owner]</w:t>
            </w:r>
          </w:p>
        </w:tc>
        <w:tc>
          <w:tcPr>
            <w:tcW w:type="dxa" w:w="1700"/>
            <w:shd w:fill="F6EDEF"/>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[Approver]</w:t>
            </w:r>
          </w:p>
        </w:tc>
      </w:tr>
    </w:tbl>
    <w:p>
      <w:pPr>
        <w:spacing w:after="60"/>
      </w:pPr>
    </w:p>
    <w:p>
      <w:pPr>
        <w:pStyle w:val="Quote"/>
        <w:spacing w:before="160" w:after="240"/>
        <w:shd w:fill="F6EDEF"/>
        <w:pBdr>
          <w:left w:val="single" w:sz="18" w:space="8" w:color="7A3E52"/>
        </w:pBdr>
      </w:pPr>
      <w:r>
        <w:rPr>
          <w:rFonts w:ascii="Calibri" w:hAnsi="Calibri"/>
          <w:b/>
          <w:color w:val="351C27"/>
          <w:sz w:val="22"/>
        </w:rPr>
        <w:t xml:space="preserve">Required review: </w:t>
      </w:r>
      <w:r>
        <w:rPr>
          <w:rFonts w:ascii="Calibri" w:hAnsi="Calibri"/>
          <w:color w:val="351C27"/>
          <w:sz w:val="22"/>
        </w:rPr>
        <w:t>BrandQuill only formats reviewed content. This starter does not determine whether a policy is lawful, sufficient, enforceable, fair, secure, or compliant.</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7A3E52"/>
        <w:sz w:val="16"/>
      </w:rPr>
      <w:t>BRANDQUILL</w:t>
    </w:r>
    <w:r>
      <w:tab/>
    </w:r>
    <w:r>
      <w:rPr>
        <w:rFonts w:ascii="Calibri" w:hAnsi="Calibri"/>
        <w:b/>
        <w:color w:val="59645D"/>
        <w:sz w:val="16"/>
      </w:rPr>
      <w:t>WORKPLACE AI USE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720"/>
        </w:tabs>
        <w:ind w:left="720" w:hanging="360"/>
        <w:spacing w:after="160" w:line="28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720"/>
        </w:tabs>
        <w:ind w:left="720" w:hanging="360"/>
        <w:spacing w:after="160" w:line="280" w:lineRule="auto"/>
      </w:pPr>
    </w:lvl>
  </w:abstractNum>
  <w:num w:numId="11">
    <w:abstractNumId w:val="10"/>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10"/>
    <w:lvlOverride w:ilvl="0">
      <w:startOverride w:val="1"/>
    </w:lvlOverride>
  </w:num>
  <w:num w:numId="1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264" w:lineRule="auto"/>
      <w:jc w:val="left"/>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40" w:lineRule="auto"/>
      <w:outlineLvl w:val="0"/>
    </w:pPr>
    <w:rPr>
      <w:rFonts w:asciiTheme="majorHAnsi" w:eastAsiaTheme="majorEastAsia" w:hAnsiTheme="majorHAnsi" w:cstheme="majorBidi" w:ascii="Calibri" w:hAnsi="Calibri"/>
      <w:b/>
      <w:bCs/>
      <w:i w:val="0"/>
      <w:color w:val="7A3E52"/>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i w:val="0"/>
      <w:color w:val="7A3E52"/>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i w:val="0"/>
      <w:color w:val="351C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351C2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160" w:line="28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351C27"/>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Workplace Generative AI Use Policy Starter Template</dc:title>
  <dc:subject>A reusable workplace AI use policy template covering approved use, restricted use, human review, data protection, security, disclosure, records, exceptions, acknowledgement, and review.</dc:subject>
  <dc:creator/>
  <cp:keywords>BrandQuill, Word template, DOCX, editable document</cp:keywords>
  <dc:description>Free workplace ai use policy starter template from brandquill.app</dc:description>
  <cp:lastModifiedBy/>
  <cp:revision>1</cp:revision>
  <dcterms:created xsi:type="dcterms:W3CDTF">2013-12-23T23:15:00Z</dcterms:created>
  <dcterms:modified xsi:type="dcterms:W3CDTF">2013-12-23T23:15:00Z</dcterms:modified>
  <cp:category/>
</cp:coreProperties>
</file>