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</w:pPr>
      <w:r>
        <w:t xml:space="preserve">Growth Strategy Proposal</w:t>
      </w:r>
    </w:p>
    <w:p>
      <w:pPr>
        <w:pStyle w:val="Heading2"/>
        <w:keepNext/>
        <w:keepLines/>
      </w:pPr>
      <w:r>
        <w:t xml:space="preserve">Prepared for Northstar Analytics</w:t>
      </w:r>
    </w:p>
    <w:p>
      <w:pPr>
        <w:pStyle w:val="Normal"/>
      </w:pPr>
      <w:r>
        <w:t xml:space="preserve">August 2026</w:t>
      </w:r>
    </w:p>
    <w:p>
      <w:pPr>
        <w:pStyle w:val="Heading2"/>
        <w:keepNext/>
        <w:keepLines/>
      </w:pPr>
      <w:r>
        <w:t xml:space="preserve">Executive summary</w:t>
      </w:r>
    </w:p>
    <w:p>
      <w:pPr>
        <w:pStyle w:val="Normal"/>
      </w:pPr>
      <w:r>
        <w:t xml:space="preserve">Northstar has a strong product and a growing customer base, but its acquisition story changes across the website, sales materials, and partner conversations. This proposal creates one measurable buyer journey that can be reused across those channels.</w:t>
      </w:r>
    </w:p>
    <w:p>
      <w:pPr>
        <w:pStyle w:val="Heading2"/>
        <w:keepNext/>
        <w:keepLines/>
      </w:pPr>
      <w:r>
        <w:t xml:space="preserve">Recommended approach</w:t>
      </w:r>
    </w:p>
    <w:p>
      <w:pPr>
        <w:pStyle w:val="ListParagraph"/>
        <w:numPr>
          <w:ilvl w:val="0"/>
          <w:numId w:val="116"/>
        </w:numPr>
      </w:pPr>
      <w:r>
        <w:t xml:space="preserve">Focus positioning on the highest-intent customer problem.</w:t>
      </w:r>
    </w:p>
    <w:p>
      <w:pPr>
        <w:pStyle w:val="ListParagraph"/>
        <w:numPr>
          <w:ilvl w:val="0"/>
          <w:numId w:val="116"/>
        </w:numPr>
      </w:pPr>
      <w:r>
        <w:t xml:space="preserve">Turn proven sales language into reusable conversion assets.</w:t>
      </w:r>
    </w:p>
    <w:p>
      <w:pPr>
        <w:pStyle w:val="ListParagraph"/>
        <w:numPr>
          <w:ilvl w:val="0"/>
          <w:numId w:val="116"/>
        </w:numPr>
      </w:pPr>
      <w:r>
        <w:t xml:space="preserve">Automate post-demo follow-up and measure each step.</w:t>
      </w:r>
    </w:p>
    <w:p>
      <w:pPr>
        <w:pStyle w:val="IntenseQuote"/>
        <w:ind w:left="540"/>
        <w:pBdr>
          <w:left w:val="single" w:sz="18" w:space="12" w:color="204CE5"/>
        </w:pBdr>
      </w:pPr>
      <w:r>
        <w:t xml:space="preserve">The goal is a simpler buying journey that the current team can operate without adding manual work.</w:t>
      </w:r>
    </w:p>
    <w:p>
      <w:pPr>
        <w:pStyle w:val="Heading2"/>
        <w:keepNext/>
        <w:keepLines/>
      </w:pPr>
      <w:r>
        <w:t xml:space="preserve">Project plan</w:t>
      </w:r>
    </w:p>
    <w:tbl>
      <w:tblPr>
        <w:tblStyle w:val="TableGrid"/>
        <w:tblW w:w="9360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1442"/>
        <w:gridCol w:w="6456"/>
        <w:gridCol w:w="1462"/>
      </w:tblGrid>
      <w:tr>
        <w:trPr>
          <w:tblHeader/>
        </w:trPr>
        <w:tc>
          <w:tcPr>
            <w:tcW w:w="1442" w:type="dxa"/>
            <w:vAlign w:val="center"/>
            <w:shd w:val="clear" w:fill="E8ECFA"/>
          </w:tcPr>
          <w:p>
            <w:pPr>
              <w:pStyle w:val="Normal"/>
            </w:pPr>
            <w:r>
              <w:rPr>
                <w:b/>
              </w:rPr>
              <w:t xml:space="preserve">Phase</w:t>
            </w:r>
          </w:p>
        </w:tc>
        <w:tc>
          <w:tcPr>
            <w:tcW w:w="6456" w:type="dxa"/>
            <w:vAlign w:val="center"/>
            <w:shd w:val="clear" w:fill="E8ECFA"/>
          </w:tcPr>
          <w:p>
            <w:pPr>
              <w:pStyle w:val="Normal"/>
            </w:pPr>
            <w:r>
              <w:rPr>
                <w:b/>
              </w:rPr>
              <w:t xml:space="preserve">Deliverable</w:t>
            </w:r>
          </w:p>
        </w:tc>
        <w:tc>
          <w:tcPr>
            <w:tcW w:w="1462" w:type="dxa"/>
            <w:vAlign w:val="center"/>
            <w:shd w:val="clear" w:fill="E8ECFA"/>
          </w:tcPr>
          <w:p>
            <w:pPr>
              <w:pStyle w:val="Normal"/>
            </w:pPr>
            <w:r>
              <w:rPr>
                <w:b/>
              </w:rPr>
              <w:t xml:space="preserve">Timing</w:t>
            </w:r>
          </w:p>
        </w:tc>
      </w:tr>
      <w:tr>
        <w:tc>
          <w:tcPr>
            <w:tcW w:w="1442" w:type="dxa"/>
            <w:vAlign w:val="center"/>
          </w:tcPr>
          <w:p>
            <w:pPr>
              <w:pStyle w:val="Normal"/>
            </w:pPr>
            <w:r>
              <w:t xml:space="preserve">Discovery</w:t>
            </w:r>
          </w:p>
        </w:tc>
        <w:tc>
          <w:tcPr>
            <w:tcW w:w="6456" w:type="dxa"/>
            <w:vAlign w:val="center"/>
          </w:tcPr>
          <w:p>
            <w:pPr>
              <w:pStyle w:val="Normal"/>
            </w:pPr>
            <w:r>
              <w:t xml:space="preserve">Buyer journey and message audit</w:t>
            </w:r>
          </w:p>
        </w:tc>
        <w:tc>
          <w:tcPr>
            <w:tcW w:w="1462" w:type="dxa"/>
            <w:vAlign w:val="center"/>
          </w:tcPr>
          <w:p>
            <w:pPr>
              <w:pStyle w:val="Normal"/>
            </w:pPr>
            <w:r>
              <w:t xml:space="preserve">Week 1</w:t>
            </w:r>
          </w:p>
        </w:tc>
      </w:tr>
      <w:tr>
        <w:tc>
          <w:tcPr>
            <w:tcW w:w="1442" w:type="dxa"/>
            <w:vAlign w:val="center"/>
          </w:tcPr>
          <w:p>
            <w:pPr>
              <w:pStyle w:val="Normal"/>
            </w:pPr>
            <w:r>
              <w:t xml:space="preserve">Build</w:t>
            </w:r>
          </w:p>
        </w:tc>
        <w:tc>
          <w:tcPr>
            <w:tcW w:w="6456" w:type="dxa"/>
            <w:vAlign w:val="center"/>
          </w:tcPr>
          <w:p>
            <w:pPr>
              <w:pStyle w:val="Normal"/>
            </w:pPr>
            <w:r>
              <w:t xml:space="preserve">Landing page, sales narrative, and follow-up sequence</w:t>
            </w:r>
          </w:p>
        </w:tc>
        <w:tc>
          <w:tcPr>
            <w:tcW w:w="1462" w:type="dxa"/>
            <w:vAlign w:val="center"/>
          </w:tcPr>
          <w:p>
            <w:pPr>
              <w:pStyle w:val="Normal"/>
            </w:pPr>
            <w:r>
              <w:t xml:space="preserve">Weeks 2 to 3</w:t>
            </w:r>
          </w:p>
        </w:tc>
      </w:tr>
      <w:tr>
        <w:tc>
          <w:tcPr>
            <w:tcW w:w="1442" w:type="dxa"/>
            <w:vAlign w:val="center"/>
          </w:tcPr>
          <w:p>
            <w:pPr>
              <w:pStyle w:val="Normal"/>
            </w:pPr>
            <w:r>
              <w:t xml:space="preserve">Launch</w:t>
            </w:r>
          </w:p>
        </w:tc>
        <w:tc>
          <w:tcPr>
            <w:tcW w:w="6456" w:type="dxa"/>
            <w:vAlign w:val="center"/>
          </w:tcPr>
          <w:p>
            <w:pPr>
              <w:pStyle w:val="Normal"/>
            </w:pPr>
            <w:r>
              <w:t xml:space="preserve">Measurement, review, and handoff</w:t>
            </w:r>
          </w:p>
        </w:tc>
        <w:tc>
          <w:tcPr>
            <w:tcW w:w="1462" w:type="dxa"/>
            <w:vAlign w:val="center"/>
          </w:tcPr>
          <w:p>
            <w:pPr>
              <w:pStyle w:val="Normal"/>
            </w:pPr>
            <w:r>
              <w:t xml:space="preserve">Week 4</w:t>
            </w:r>
          </w:p>
        </w:tc>
      </w:tr>
    </w:tbl>
    <w:p>
      <w:pPr>
        <w:pStyle w:val="Heading2"/>
        <w:keepNext/>
        <w:keepLines/>
      </w:pPr>
      <w:r>
        <w:t xml:space="preserve">Success measures</w:t>
      </w:r>
    </w:p>
    <w:p>
      <w:pPr>
        <w:pStyle w:val="ListParagraph"/>
        <w:numPr>
          <w:ilvl w:val="0"/>
          <w:numId w:val="115"/>
        </w:numPr>
      </w:pPr>
      <w:r>
        <w:t xml:space="preserve">More qualified visitors reach the primary call to action</w:t>
      </w:r>
    </w:p>
    <w:p>
      <w:pPr>
        <w:pStyle w:val="ListParagraph"/>
        <w:numPr>
          <w:ilvl w:val="0"/>
          <w:numId w:val="115"/>
        </w:numPr>
      </w:pPr>
      <w:r>
        <w:t xml:space="preserve">A larger share of demo requests match the target customer profile</w:t>
      </w:r>
    </w:p>
    <w:p>
      <w:pPr>
        <w:pStyle w:val="ListParagraph"/>
        <w:numPr>
          <w:ilvl w:val="0"/>
          <w:numId w:val="115"/>
        </w:numPr>
      </w:pPr>
      <w:r>
        <w:t xml:space="preserve">Follow-up is sent consistently without manual reminders</w:t>
      </w:r>
    </w:p>
    <w:p>
      <w:pPr>
        <w:pStyle w:val="Heading2"/>
        <w:keepNext/>
        <w:keepLines/>
      </w:pPr>
      <w:r>
        <w:t xml:space="preserve">Next step</w:t>
      </w:r>
    </w:p>
    <w:p>
      <w:pPr>
        <w:pStyle w:val="Normal"/>
      </w:pPr>
      <w:r>
        <w:t xml:space="preserve">Approve the proposed scope and schedule a 45-minute kickoff with the project owner.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0" w:after="0"/>
    </w:pPr>
    <w:r>
      <w:rPr>
        <w:rFonts w:ascii="Calibri" w:hAnsi="Calibri"/>
        <w:color w:val="59645D"/>
        <w:sz w:val="16"/>
      </w:rPr>
      <w:t>Free starter template | brandquill.app</w:t>
    </w:r>
    <w:r>
      <w:tab/>
    </w:r>
    <w:r>
      <w:rPr>
        <w:rFonts w:ascii="Calibri" w:hAnsi="Calibri"/>
        <w:color w:val="59645D"/>
        <w:sz w:val="16"/>
      </w:rPr>
      <w:t xml:space="preserve">Page </w:t>
    </w:r>
    <w:r>
      <w:rPr>
        <w:rFonts w:ascii="Calibri" w:hAnsi="Calibri"/>
        <w:color w:val="59645D"/>
        <w:sz w:val="16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9645D"/>
        <w:sz w:val="16"/>
      </w:rPr>
      <w:t xml:space="preserve"> of </w:t>
    </w:r>
    <w:r>
      <w:rPr>
        <w:rFonts w:ascii="Calibri" w:hAnsi="Calibri"/>
        <w:color w:val="59645D"/>
        <w:sz w:val="16"/>
      </w:rPr>
      <w:fldChar w:fldCharType="begin"/>
      <w:instrText xml:space="preserve"> NUMPAGES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/>
        <w:b/>
        <w:color w:val="2E74B5"/>
        <w:sz w:val="16"/>
      </w:rPr>
      <w:t>BRANDQUILL</w:t>
    </w:r>
    <w:r>
      <w:tab/>
    </w:r>
    <w:r>
      <w:rPr>
        <w:rFonts w:ascii="Calibri" w:hAnsi="Calibri"/>
        <w:b/>
        <w:color w:val="59645D"/>
        <w:sz w:val="16"/>
      </w:rPr>
      <w:t>CLIENT PROPOSAL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540"/>
        </w:tabs>
        <w:ind w:left="540" w:hanging="280"/>
        <w:spacing w:after="80" w:line="29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lvlJc w:val="left"/>
      <w:pPr>
        <w:tabs>
          <w:tab w:val="num" w:pos="540"/>
        </w:tabs>
        <w:ind w:left="540" w:hanging="280"/>
        <w:spacing w:after="80" w:line="290" w:lineRule="auto"/>
      </w:pPr>
    </w:lvl>
  </w:abstractNum>
  <w:num w:numId="11">
    <w:abstractNumId w:val="10"/>
  </w:num>
  <w:num w:numId="12">
    <w:abstractNumId w:val="9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0"/>
    <w:lvlOverride w:ilvl="0">
      <w:startOverride w:val="1"/>
    </w:lvlOverride>
  </w:num>
  <w:abstractNum w:abstractNumId="110">
    <w:multiLevelType w:val="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1">
    <w:multiLevelType w:val="multi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15">
    <w:abstractNumId w:val="110"/>
  </w:num>
  <w:num w:numId="116">
    <w:abstractNumId w:val="1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60" w:line="320" w:lineRule="auto"/>
      <w:jc w:val="both"/>
    </w:pPr>
    <w:rPr>
      <w:rFonts w:ascii="Calibri" w:hAnsi="Calibri"/>
      <w:b w:val="0"/>
      <w:i w:val="0"/>
      <w:color w:val="17211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  <w:jc w:val="center"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  <w:jc w:val="center"/>
    </w:pPr>
    <w:rPr>
      <w:rFonts w:asciiTheme="majorHAnsi" w:eastAsiaTheme="majorEastAsia" w:hAnsiTheme="majorHAnsi" w:cstheme="majorBidi" w:ascii="Calibri" w:hAnsi="Calibri"/>
      <w:b w:val="0"/>
      <w:i w:val="0"/>
      <w:iCs/>
      <w:color w:val="59645D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keepNext w:val="0"/>
      <w:spacing w:before="0" w:after="80" w:line="290" w:lineRule="auto"/>
      <w:ind w:left="720"/>
      <w:contextualSpacing/>
    </w:pPr>
    <w:rPr>
      <w:rFonts w:ascii="Calibri" w:hAnsi="Calibri"/>
      <w:b w:val="0"/>
      <w:i w:val="0"/>
      <w:color w:val="17211B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keepNext w:val="0"/>
      <w:spacing w:before="160" w:after="200" w:line="288" w:lineRule="auto"/>
      <w:ind w:left="259" w:right="115"/>
    </w:pPr>
    <w:rPr>
      <w:rFonts w:ascii="Calibri" w:hAnsi="Calibri"/>
      <w:b/>
      <w:i w:val="0"/>
      <w:iCs/>
      <w:color w:val="0B2545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  <w:b w:val="0"/>
      <w:i w:val="0"/>
      <w:color w:val="17211B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keepNext w:val="0"/>
      <w:spacing w:before="80" w:after="160" w:line="240" w:lineRule="auto"/>
    </w:pPr>
    <w:rPr>
      <w:rFonts w:ascii="Courier New" w:hAnsi="Courier New"/>
      <w:b w:val="0"/>
      <w:i w:val="0"/>
      <w:color w:val="17211B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BrandQuill Client Proposal Starter Template</dc:title>
  <dc:subject>A reusable client proposal template with structured scope, timeline, pricing, and next steps.</dc:subject>
  <dc:creator/>
  <cp:keywords>BrandQuill, Word template, DOCX, editable document</cp:keywords>
  <dc:description>Free client proposal starter template from brandquill.app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